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33E6" w14:textId="77777777" w:rsidR="0040769E" w:rsidRDefault="0046051C" w:rsidP="000B47AE">
      <w:pPr>
        <w:jc w:val="center"/>
        <w:rPr>
          <w:rFonts w:ascii="Verdana" w:hAnsi="Verdana"/>
          <w:b/>
          <w:color w:val="0070C0"/>
          <w:sz w:val="22"/>
          <w:szCs w:val="22"/>
        </w:rPr>
      </w:pPr>
      <w:r>
        <w:rPr>
          <w:noProof/>
        </w:rPr>
        <w:drawing>
          <wp:inline distT="0" distB="0" distL="0" distR="0" wp14:anchorId="51531725" wp14:editId="7BABB663">
            <wp:extent cx="3721100" cy="1333500"/>
            <wp:effectExtent l="0" t="0" r="12700" b="12700"/>
            <wp:docPr id="1" name="Picture 1" descr="Grand Ledge Logo final-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Ledge Logo final-P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1333500"/>
                    </a:xfrm>
                    <a:prstGeom prst="rect">
                      <a:avLst/>
                    </a:prstGeom>
                    <a:noFill/>
                    <a:ln>
                      <a:noFill/>
                    </a:ln>
                  </pic:spPr>
                </pic:pic>
              </a:graphicData>
            </a:graphic>
          </wp:inline>
        </w:drawing>
      </w:r>
    </w:p>
    <w:p w14:paraId="6F79B77F" w14:textId="77777777" w:rsidR="0046051C" w:rsidRDefault="0046051C" w:rsidP="0046051C">
      <w:pPr>
        <w:ind w:left="-738" w:firstLine="738"/>
        <w:jc w:val="center"/>
        <w:rPr>
          <w:rFonts w:ascii="Tahoma" w:hAnsi="Tahoma" w:cs="Tahoma"/>
          <w:color w:val="000080"/>
          <w:sz w:val="18"/>
          <w:szCs w:val="18"/>
        </w:rPr>
      </w:pPr>
      <w:r>
        <w:rPr>
          <w:rFonts w:ascii="Tahoma" w:hAnsi="Tahoma" w:cs="Tahoma"/>
          <w:color w:val="000080"/>
          <w:sz w:val="18"/>
          <w:szCs w:val="18"/>
        </w:rPr>
        <w:t>Dr. Brian Metcalf / Superintendent of Schools</w:t>
      </w:r>
    </w:p>
    <w:p w14:paraId="2B818524" w14:textId="77777777" w:rsidR="0046051C" w:rsidRDefault="0046051C" w:rsidP="0046051C">
      <w:pPr>
        <w:rPr>
          <w:rFonts w:ascii="Verdana" w:hAnsi="Verdana"/>
          <w:b/>
          <w:color w:val="0070C0"/>
          <w:sz w:val="22"/>
          <w:szCs w:val="22"/>
        </w:rPr>
      </w:pPr>
    </w:p>
    <w:p w14:paraId="22DD6F40" w14:textId="77777777" w:rsidR="0046051C" w:rsidRDefault="0046051C" w:rsidP="000B47AE">
      <w:pPr>
        <w:jc w:val="center"/>
        <w:rPr>
          <w:rFonts w:ascii="Verdana" w:hAnsi="Verdana"/>
          <w:b/>
          <w:color w:val="0070C0"/>
          <w:sz w:val="22"/>
          <w:szCs w:val="22"/>
        </w:rPr>
      </w:pPr>
    </w:p>
    <w:p w14:paraId="2401B46E" w14:textId="77777777" w:rsidR="0040769E" w:rsidRPr="000B47AE" w:rsidRDefault="0040769E" w:rsidP="000B47AE">
      <w:pPr>
        <w:jc w:val="center"/>
        <w:rPr>
          <w:rFonts w:ascii="Verdana" w:hAnsi="Verdana"/>
          <w:b/>
          <w:color w:val="0070C0"/>
          <w:sz w:val="22"/>
          <w:szCs w:val="22"/>
        </w:rPr>
      </w:pPr>
      <w:r>
        <w:rPr>
          <w:rFonts w:ascii="Verdana" w:hAnsi="Verdana"/>
          <w:b/>
          <w:color w:val="0070C0"/>
          <w:sz w:val="22"/>
          <w:szCs w:val="22"/>
        </w:rPr>
        <w:t>School Annual Education Report (AER) Cover Letter</w:t>
      </w:r>
    </w:p>
    <w:p w14:paraId="7073B30E" w14:textId="77777777" w:rsidR="000B47AE" w:rsidRPr="000B47AE" w:rsidRDefault="000B47AE" w:rsidP="00120B49">
      <w:pPr>
        <w:pStyle w:val="Heading1"/>
        <w:jc w:val="center"/>
        <w:rPr>
          <w:rFonts w:ascii="Verdana" w:hAnsi="Verdana"/>
          <w:color w:val="0070C0"/>
          <w:sz w:val="22"/>
          <w:szCs w:val="22"/>
        </w:rPr>
      </w:pPr>
    </w:p>
    <w:p w14:paraId="6D0F8DAB" w14:textId="77777777" w:rsidR="007C2788" w:rsidRPr="00052382" w:rsidRDefault="007C2788" w:rsidP="00120B49">
      <w:pPr>
        <w:rPr>
          <w:rFonts w:ascii="Verdana" w:hAnsi="Verdana"/>
          <w:sz w:val="22"/>
          <w:szCs w:val="22"/>
        </w:rPr>
      </w:pPr>
    </w:p>
    <w:p w14:paraId="08BAD25C" w14:textId="223C3EA2" w:rsidR="000B47AE" w:rsidRPr="00052382" w:rsidRDefault="00D31F75" w:rsidP="000B47AE">
      <w:pPr>
        <w:rPr>
          <w:rFonts w:ascii="Verdana" w:hAnsi="Verdana"/>
          <w:sz w:val="22"/>
          <w:szCs w:val="22"/>
        </w:rPr>
      </w:pPr>
      <w:r>
        <w:rPr>
          <w:rFonts w:ascii="Verdana" w:hAnsi="Verdana"/>
          <w:sz w:val="22"/>
          <w:szCs w:val="22"/>
        </w:rPr>
        <w:t>March 10</w:t>
      </w:r>
      <w:bookmarkStart w:id="0" w:name="_GoBack"/>
      <w:bookmarkEnd w:id="0"/>
      <w:r w:rsidR="002C05E6">
        <w:rPr>
          <w:rFonts w:ascii="Verdana" w:hAnsi="Verdana"/>
          <w:sz w:val="22"/>
          <w:szCs w:val="22"/>
        </w:rPr>
        <w:t>, 2017</w:t>
      </w:r>
      <w:r w:rsidR="008F4D7F" w:rsidRPr="00052382">
        <w:rPr>
          <w:rFonts w:ascii="Verdana" w:hAnsi="Verdana"/>
          <w:sz w:val="22"/>
          <w:szCs w:val="22"/>
        </w:rPr>
        <w:tab/>
      </w:r>
    </w:p>
    <w:p w14:paraId="0224C301" w14:textId="77777777" w:rsidR="0046051C" w:rsidRPr="00052382" w:rsidRDefault="0046051C" w:rsidP="000B47AE">
      <w:pPr>
        <w:rPr>
          <w:rFonts w:ascii="Verdana" w:hAnsi="Verdana"/>
          <w:sz w:val="22"/>
          <w:szCs w:val="22"/>
        </w:rPr>
      </w:pPr>
    </w:p>
    <w:p w14:paraId="5759BDF3" w14:textId="77777777" w:rsidR="007A26E5" w:rsidRPr="00052382" w:rsidRDefault="007A26E5" w:rsidP="00120B49">
      <w:pPr>
        <w:rPr>
          <w:rFonts w:ascii="Verdana" w:hAnsi="Verdana"/>
          <w:sz w:val="22"/>
          <w:szCs w:val="22"/>
        </w:rPr>
      </w:pPr>
    </w:p>
    <w:p w14:paraId="28D90326" w14:textId="77777777" w:rsidR="007C2788" w:rsidRPr="00052382" w:rsidRDefault="007C2788" w:rsidP="00120B49">
      <w:pPr>
        <w:rPr>
          <w:rFonts w:ascii="Verdana" w:hAnsi="Verdana"/>
          <w:sz w:val="22"/>
          <w:szCs w:val="22"/>
        </w:rPr>
      </w:pPr>
      <w:r w:rsidRPr="00052382">
        <w:rPr>
          <w:rFonts w:ascii="Verdana" w:hAnsi="Verdana"/>
          <w:sz w:val="22"/>
          <w:szCs w:val="22"/>
        </w:rPr>
        <w:t>Dear Parents and Community Members:</w:t>
      </w:r>
    </w:p>
    <w:p w14:paraId="285A9A8E" w14:textId="77777777" w:rsidR="007C2788" w:rsidRPr="00052382" w:rsidRDefault="007C2788" w:rsidP="00120B49">
      <w:pPr>
        <w:rPr>
          <w:rFonts w:ascii="Verdana" w:hAnsi="Verdana"/>
          <w:sz w:val="22"/>
          <w:szCs w:val="22"/>
        </w:rPr>
      </w:pPr>
    </w:p>
    <w:p w14:paraId="36E7F395" w14:textId="1559BFD5" w:rsidR="007C2788" w:rsidRPr="00052382" w:rsidRDefault="007C2788" w:rsidP="00120B49">
      <w:pPr>
        <w:rPr>
          <w:rFonts w:ascii="Verdana" w:hAnsi="Verdana"/>
          <w:sz w:val="22"/>
          <w:szCs w:val="22"/>
        </w:rPr>
      </w:pPr>
      <w:r w:rsidRPr="00052382">
        <w:rPr>
          <w:rFonts w:ascii="Verdana" w:hAnsi="Verdana"/>
          <w:sz w:val="22"/>
          <w:szCs w:val="22"/>
        </w:rPr>
        <w:t>We are pleased to present you with the Annual Education Report (AER</w:t>
      </w:r>
      <w:proofErr w:type="gramStart"/>
      <w:r w:rsidRPr="00052382">
        <w:rPr>
          <w:rFonts w:ascii="Verdana" w:hAnsi="Verdana"/>
          <w:sz w:val="22"/>
          <w:szCs w:val="22"/>
        </w:rPr>
        <w:t>) which</w:t>
      </w:r>
      <w:proofErr w:type="gramEnd"/>
      <w:r w:rsidRPr="00052382">
        <w:rPr>
          <w:rFonts w:ascii="Verdana" w:hAnsi="Verdana"/>
          <w:sz w:val="22"/>
          <w:szCs w:val="22"/>
        </w:rPr>
        <w:t xml:space="preserve"> provides key information on the </w:t>
      </w:r>
      <w:r w:rsidR="00537B61">
        <w:rPr>
          <w:rFonts w:ascii="Verdana" w:hAnsi="Verdana"/>
          <w:sz w:val="22"/>
          <w:szCs w:val="22"/>
        </w:rPr>
        <w:t>2015-16</w:t>
      </w:r>
      <w:r w:rsidR="00120B49" w:rsidRPr="00052382">
        <w:rPr>
          <w:rFonts w:ascii="Verdana" w:hAnsi="Verdana"/>
          <w:sz w:val="22"/>
          <w:szCs w:val="22"/>
        </w:rPr>
        <w:t xml:space="preserve"> </w:t>
      </w:r>
      <w:r w:rsidRPr="00052382">
        <w:rPr>
          <w:rFonts w:ascii="Verdana" w:hAnsi="Verdana"/>
          <w:sz w:val="22"/>
          <w:szCs w:val="22"/>
        </w:rPr>
        <w:t>educational progress for</w:t>
      </w:r>
      <w:r w:rsidR="00590458" w:rsidRPr="00052382">
        <w:rPr>
          <w:rFonts w:ascii="Verdana" w:hAnsi="Verdana"/>
          <w:sz w:val="22"/>
          <w:szCs w:val="22"/>
        </w:rPr>
        <w:t xml:space="preserve"> </w:t>
      </w:r>
      <w:r w:rsidR="0046051C" w:rsidRPr="00052382">
        <w:rPr>
          <w:rFonts w:ascii="Verdana" w:hAnsi="Verdana"/>
          <w:sz w:val="22"/>
          <w:szCs w:val="22"/>
        </w:rPr>
        <w:t>Beagle Elementary School</w:t>
      </w:r>
      <w:r w:rsidR="00590458" w:rsidRPr="00052382">
        <w:rPr>
          <w:rFonts w:ascii="Verdana" w:hAnsi="Verdana"/>
          <w:sz w:val="22"/>
          <w:szCs w:val="22"/>
        </w:rPr>
        <w:t xml:space="preserve">. </w:t>
      </w:r>
      <w:r w:rsidRPr="00052382">
        <w:rPr>
          <w:rFonts w:ascii="Verdana" w:hAnsi="Verdana"/>
          <w:sz w:val="22"/>
          <w:szCs w:val="22"/>
        </w:rPr>
        <w:t xml:space="preserve">The AER addresses the complex reporting information required by federal and state laws. The school’s report contains information about student assessment, </w:t>
      </w:r>
      <w:r w:rsidR="003D3704" w:rsidRPr="00052382">
        <w:rPr>
          <w:rFonts w:ascii="Verdana" w:hAnsi="Verdana"/>
          <w:sz w:val="22"/>
          <w:szCs w:val="22"/>
        </w:rPr>
        <w:t>accountability</w:t>
      </w:r>
      <w:r w:rsidR="001B669B" w:rsidRPr="00052382">
        <w:rPr>
          <w:rFonts w:ascii="Verdana" w:hAnsi="Verdana"/>
          <w:sz w:val="22"/>
          <w:szCs w:val="22"/>
        </w:rPr>
        <w:t>,</w:t>
      </w:r>
      <w:r w:rsidRPr="00052382">
        <w:rPr>
          <w:rFonts w:ascii="Verdana" w:hAnsi="Verdana"/>
          <w:sz w:val="22"/>
          <w:szCs w:val="22"/>
        </w:rPr>
        <w:t xml:space="preserve"> and teacher quality. If you have any questions about the AER, please contact </w:t>
      </w:r>
      <w:r w:rsidR="0046051C" w:rsidRPr="00052382">
        <w:rPr>
          <w:rFonts w:ascii="Verdana" w:hAnsi="Verdana"/>
          <w:sz w:val="22"/>
          <w:szCs w:val="22"/>
        </w:rPr>
        <w:t xml:space="preserve">Principal Dawn </w:t>
      </w:r>
      <w:proofErr w:type="spellStart"/>
      <w:r w:rsidR="0046051C" w:rsidRPr="00052382">
        <w:rPr>
          <w:rFonts w:ascii="Verdana" w:hAnsi="Verdana"/>
          <w:sz w:val="22"/>
          <w:szCs w:val="22"/>
        </w:rPr>
        <w:t>Kennaugh</w:t>
      </w:r>
      <w:proofErr w:type="spellEnd"/>
      <w:r w:rsidRPr="00052382">
        <w:rPr>
          <w:rFonts w:ascii="Verdana" w:hAnsi="Verdana"/>
          <w:sz w:val="22"/>
          <w:szCs w:val="22"/>
        </w:rPr>
        <w:t xml:space="preserve"> for assistance.</w:t>
      </w:r>
    </w:p>
    <w:p w14:paraId="7B78653B" w14:textId="77777777" w:rsidR="007C2788" w:rsidRPr="00052382" w:rsidRDefault="007C2788" w:rsidP="00120B49">
      <w:pPr>
        <w:rPr>
          <w:rFonts w:ascii="Verdana" w:hAnsi="Verdana"/>
          <w:sz w:val="22"/>
          <w:szCs w:val="22"/>
        </w:rPr>
      </w:pPr>
    </w:p>
    <w:p w14:paraId="54D07AEC" w14:textId="51FDB803" w:rsidR="007C2788" w:rsidRPr="00052382" w:rsidRDefault="007C2788" w:rsidP="00120B49">
      <w:pPr>
        <w:rPr>
          <w:rFonts w:ascii="Verdana" w:hAnsi="Verdana"/>
          <w:sz w:val="22"/>
          <w:szCs w:val="22"/>
        </w:rPr>
      </w:pPr>
      <w:r w:rsidRPr="00052382">
        <w:rPr>
          <w:rFonts w:ascii="Verdana" w:hAnsi="Verdana"/>
          <w:sz w:val="22"/>
          <w:szCs w:val="22"/>
        </w:rPr>
        <w:t xml:space="preserve">The AER is available for you to review electronically by visiting the following web site </w:t>
      </w:r>
      <w:hyperlink r:id="rId10" w:history="1">
        <w:r w:rsidR="000029D3" w:rsidRPr="00052382">
          <w:rPr>
            <w:rStyle w:val="Hyperlink"/>
            <w:rFonts w:ascii="Verdana" w:hAnsi="Verdana"/>
            <w:sz w:val="22"/>
            <w:szCs w:val="22"/>
          </w:rPr>
          <w:t>http://glcomets.net/ourschools/elementary-grades-1---6/</w:t>
        </w:r>
        <w:proofErr w:type="spellStart"/>
        <w:r w:rsidR="000029D3" w:rsidRPr="00052382">
          <w:rPr>
            <w:rStyle w:val="Hyperlink"/>
            <w:rFonts w:ascii="Verdana" w:hAnsi="Verdana"/>
            <w:sz w:val="22"/>
            <w:szCs w:val="22"/>
          </w:rPr>
          <w:t>beagleelementaryschool</w:t>
        </w:r>
        <w:proofErr w:type="spellEnd"/>
        <w:r w:rsidR="000029D3" w:rsidRPr="00052382">
          <w:rPr>
            <w:rStyle w:val="Hyperlink"/>
            <w:rFonts w:ascii="Verdana" w:hAnsi="Verdana"/>
            <w:sz w:val="22"/>
            <w:szCs w:val="22"/>
          </w:rPr>
          <w:t>/annualeducationreportletter200910/</w:t>
        </w:r>
      </w:hyperlink>
      <w:r w:rsidR="000029D3" w:rsidRPr="00052382">
        <w:rPr>
          <w:rFonts w:ascii="Verdana" w:hAnsi="Verdana"/>
          <w:sz w:val="22"/>
          <w:szCs w:val="22"/>
        </w:rPr>
        <w:t xml:space="preserve"> </w:t>
      </w:r>
      <w:r w:rsidRPr="00052382">
        <w:rPr>
          <w:rFonts w:ascii="Verdana" w:hAnsi="Verdana"/>
          <w:sz w:val="22"/>
          <w:szCs w:val="22"/>
        </w:rPr>
        <w:t xml:space="preserve">or you may review a copy </w:t>
      </w:r>
      <w:r w:rsidR="006608EB" w:rsidRPr="00052382">
        <w:rPr>
          <w:rFonts w:ascii="Verdana" w:hAnsi="Verdana"/>
          <w:sz w:val="22"/>
          <w:szCs w:val="22"/>
        </w:rPr>
        <w:t xml:space="preserve">in </w:t>
      </w:r>
      <w:r w:rsidR="00981850" w:rsidRPr="00052382">
        <w:rPr>
          <w:rFonts w:ascii="Verdana" w:hAnsi="Verdana"/>
          <w:sz w:val="22"/>
          <w:szCs w:val="22"/>
        </w:rPr>
        <w:t>the</w:t>
      </w:r>
      <w:r w:rsidR="007670C5" w:rsidRPr="00052382">
        <w:rPr>
          <w:rFonts w:ascii="Verdana" w:hAnsi="Verdana"/>
          <w:sz w:val="22"/>
          <w:szCs w:val="22"/>
        </w:rPr>
        <w:t xml:space="preserve"> main </w:t>
      </w:r>
      <w:r w:rsidRPr="00052382">
        <w:rPr>
          <w:rFonts w:ascii="Verdana" w:hAnsi="Verdana"/>
          <w:sz w:val="22"/>
          <w:szCs w:val="22"/>
        </w:rPr>
        <w:t>office.</w:t>
      </w:r>
    </w:p>
    <w:p w14:paraId="5D089E8D" w14:textId="77777777" w:rsidR="007C2788" w:rsidRPr="00052382" w:rsidRDefault="007C2788" w:rsidP="00120B49">
      <w:pPr>
        <w:rPr>
          <w:rFonts w:ascii="Verdana" w:hAnsi="Verdana"/>
          <w:sz w:val="22"/>
          <w:szCs w:val="22"/>
        </w:rPr>
      </w:pPr>
    </w:p>
    <w:p w14:paraId="2EB779DD" w14:textId="44DCD960" w:rsidR="000029D3" w:rsidRPr="00052382" w:rsidRDefault="000029D3" w:rsidP="000029D3">
      <w:pPr>
        <w:rPr>
          <w:rFonts w:ascii="Verdana" w:hAnsi="Verdana"/>
          <w:sz w:val="22"/>
          <w:szCs w:val="22"/>
        </w:rPr>
      </w:pPr>
      <w:r w:rsidRPr="00052382">
        <w:rPr>
          <w:rFonts w:ascii="Verdana" w:hAnsi="Verdana"/>
          <w:sz w:val="22"/>
          <w:szCs w:val="22"/>
        </w:rPr>
        <w:t>Beagle Elementary is focused on continual improvement in student achievement.  Our school implemented Positive Behavior Supports (PBS) as a result of a team of teachers participating in Michigan’s Integrated Behavior and Learning Support Initiative (</w:t>
      </w:r>
      <w:proofErr w:type="spellStart"/>
      <w:r w:rsidRPr="00052382">
        <w:rPr>
          <w:rFonts w:ascii="Verdana" w:hAnsi="Verdana"/>
          <w:sz w:val="22"/>
          <w:szCs w:val="22"/>
        </w:rPr>
        <w:t>MiBLSi</w:t>
      </w:r>
      <w:proofErr w:type="spellEnd"/>
      <w:r w:rsidRPr="00052382">
        <w:rPr>
          <w:rFonts w:ascii="Verdana" w:hAnsi="Verdana"/>
          <w:sz w:val="22"/>
          <w:szCs w:val="22"/>
        </w:rPr>
        <w:t xml:space="preserve">). The focus of </w:t>
      </w:r>
      <w:proofErr w:type="spellStart"/>
      <w:r w:rsidRPr="00052382">
        <w:rPr>
          <w:rFonts w:ascii="Verdana" w:hAnsi="Verdana"/>
          <w:sz w:val="22"/>
          <w:szCs w:val="22"/>
        </w:rPr>
        <w:t>MiBLSi</w:t>
      </w:r>
      <w:proofErr w:type="spellEnd"/>
      <w:r w:rsidRPr="00052382">
        <w:rPr>
          <w:rFonts w:ascii="Verdana" w:hAnsi="Verdana"/>
          <w:sz w:val="22"/>
          <w:szCs w:val="22"/>
        </w:rPr>
        <w:t xml:space="preserve"> is on an integrated approach to behavior and reading improvement.   Through our PBS efforts, we are reducing barriers to learning, such as interruptions and inappropriate behaviors in the classrooms.  We are implementing a n</w:t>
      </w:r>
      <w:r w:rsidR="00A2006C" w:rsidRPr="00052382">
        <w:rPr>
          <w:rFonts w:ascii="Verdana" w:hAnsi="Verdana"/>
          <w:sz w:val="22"/>
          <w:szCs w:val="22"/>
        </w:rPr>
        <w:t>ew reading program, “Journeys.”</w:t>
      </w:r>
      <w:r w:rsidRPr="00052382">
        <w:rPr>
          <w:rFonts w:ascii="Verdana" w:hAnsi="Verdana"/>
          <w:sz w:val="22"/>
          <w:szCs w:val="22"/>
        </w:rPr>
        <w:t xml:space="preserve">  Additionally, this year will be the </w:t>
      </w:r>
      <w:r w:rsidR="0020225B">
        <w:rPr>
          <w:rFonts w:ascii="Verdana" w:hAnsi="Verdana"/>
          <w:sz w:val="22"/>
          <w:szCs w:val="22"/>
        </w:rPr>
        <w:t>sixth</w:t>
      </w:r>
      <w:r w:rsidRPr="00052382">
        <w:rPr>
          <w:rFonts w:ascii="Verdana" w:hAnsi="Verdana"/>
          <w:sz w:val="22"/>
          <w:szCs w:val="22"/>
        </w:rPr>
        <w:t xml:space="preserve"> year of our Everyday Mathematics program in 1</w:t>
      </w:r>
      <w:r w:rsidRPr="00052382">
        <w:rPr>
          <w:rFonts w:ascii="Verdana" w:hAnsi="Verdana"/>
          <w:sz w:val="22"/>
          <w:szCs w:val="22"/>
          <w:vertAlign w:val="superscript"/>
        </w:rPr>
        <w:t>st</w:t>
      </w:r>
      <w:r w:rsidRPr="00052382">
        <w:rPr>
          <w:rFonts w:ascii="Verdana" w:hAnsi="Verdana"/>
          <w:sz w:val="22"/>
          <w:szCs w:val="22"/>
        </w:rPr>
        <w:t>-5</w:t>
      </w:r>
      <w:r w:rsidRPr="00052382">
        <w:rPr>
          <w:rFonts w:ascii="Verdana" w:hAnsi="Verdana"/>
          <w:sz w:val="22"/>
          <w:szCs w:val="22"/>
          <w:vertAlign w:val="superscript"/>
        </w:rPr>
        <w:t>th</w:t>
      </w:r>
      <w:r w:rsidRPr="00052382">
        <w:rPr>
          <w:rFonts w:ascii="Verdana" w:hAnsi="Verdana"/>
          <w:sz w:val="22"/>
          <w:szCs w:val="22"/>
        </w:rPr>
        <w:t xml:space="preserve"> grade.  Our 6</w:t>
      </w:r>
      <w:r w:rsidRPr="00052382">
        <w:rPr>
          <w:rFonts w:ascii="Verdana" w:hAnsi="Verdana"/>
          <w:sz w:val="22"/>
          <w:szCs w:val="22"/>
          <w:vertAlign w:val="superscript"/>
        </w:rPr>
        <w:t>th</w:t>
      </w:r>
      <w:r w:rsidRPr="00052382">
        <w:rPr>
          <w:rFonts w:ascii="Verdana" w:hAnsi="Verdana"/>
          <w:sz w:val="22"/>
          <w:szCs w:val="22"/>
        </w:rPr>
        <w:t xml:space="preserve"> grade is in its </w:t>
      </w:r>
      <w:r w:rsidR="0020225B">
        <w:rPr>
          <w:rFonts w:ascii="Verdana" w:hAnsi="Verdana"/>
          <w:sz w:val="22"/>
          <w:szCs w:val="22"/>
        </w:rPr>
        <w:t>second</w:t>
      </w:r>
      <w:r w:rsidRPr="00052382">
        <w:rPr>
          <w:rFonts w:ascii="Verdana" w:hAnsi="Verdana"/>
          <w:sz w:val="22"/>
          <w:szCs w:val="22"/>
        </w:rPr>
        <w:t xml:space="preserve"> year of implementing the Digits curriculum.  In other content areas, we continue to implement hands-on</w:t>
      </w:r>
      <w:r w:rsidR="0020225B">
        <w:rPr>
          <w:rFonts w:ascii="Verdana" w:hAnsi="Verdana"/>
          <w:sz w:val="22"/>
          <w:szCs w:val="22"/>
        </w:rPr>
        <w:t xml:space="preserve"> social studies curriculum and</w:t>
      </w:r>
      <w:r w:rsidRPr="00052382">
        <w:rPr>
          <w:rFonts w:ascii="Verdana" w:hAnsi="Verdana"/>
          <w:sz w:val="22"/>
          <w:szCs w:val="22"/>
        </w:rPr>
        <w:t xml:space="preserve"> hands-on science. </w:t>
      </w:r>
    </w:p>
    <w:p w14:paraId="4FCAE9AD" w14:textId="77777777" w:rsidR="003C6DDE" w:rsidRPr="00052382" w:rsidRDefault="003C6DDE" w:rsidP="00120B49">
      <w:pPr>
        <w:rPr>
          <w:rFonts w:ascii="Verdana" w:hAnsi="Verdana"/>
          <w:sz w:val="22"/>
          <w:szCs w:val="22"/>
        </w:rPr>
      </w:pPr>
    </w:p>
    <w:p w14:paraId="36737C3F" w14:textId="77777777" w:rsidR="0046051C" w:rsidRPr="00052382" w:rsidRDefault="000029D3" w:rsidP="00120B49">
      <w:pPr>
        <w:rPr>
          <w:rFonts w:ascii="Verdana" w:hAnsi="Verdana"/>
          <w:sz w:val="22"/>
          <w:szCs w:val="22"/>
        </w:rPr>
      </w:pPr>
      <w:r w:rsidRPr="00052382">
        <w:rPr>
          <w:rFonts w:ascii="Verdana" w:hAnsi="Verdana"/>
          <w:sz w:val="22"/>
          <w:szCs w:val="22"/>
        </w:rPr>
        <w:t>Additional information about our district and school is provided below:</w:t>
      </w:r>
    </w:p>
    <w:p w14:paraId="07725408" w14:textId="77777777" w:rsidR="0046051C" w:rsidRPr="00052382" w:rsidRDefault="0046051C" w:rsidP="00120B49">
      <w:pPr>
        <w:rPr>
          <w:rFonts w:ascii="Verdana" w:hAnsi="Verdana"/>
          <w:sz w:val="22"/>
          <w:szCs w:val="22"/>
        </w:rPr>
      </w:pPr>
    </w:p>
    <w:p w14:paraId="08329AA1" w14:textId="77777777" w:rsidR="00A2006C" w:rsidRPr="00052382" w:rsidRDefault="0046051C" w:rsidP="0046051C">
      <w:pPr>
        <w:rPr>
          <w:rFonts w:ascii="Verdana" w:hAnsi="Verdana"/>
          <w:b/>
          <w:sz w:val="22"/>
          <w:szCs w:val="22"/>
          <w:u w:val="single"/>
        </w:rPr>
      </w:pPr>
      <w:r w:rsidRPr="00052382">
        <w:rPr>
          <w:rFonts w:ascii="Verdana" w:hAnsi="Verdana"/>
          <w:b/>
          <w:sz w:val="22"/>
          <w:szCs w:val="22"/>
          <w:u w:val="single"/>
        </w:rPr>
        <w:t>PROCESS FOR ASSIGNING PUPILS TO SCHOOLS</w:t>
      </w:r>
    </w:p>
    <w:p w14:paraId="6D8112D9" w14:textId="1862C046" w:rsidR="0046051C" w:rsidRPr="00052382" w:rsidRDefault="0046051C" w:rsidP="0046051C">
      <w:pPr>
        <w:rPr>
          <w:rFonts w:ascii="Verdana" w:hAnsi="Verdana"/>
          <w:sz w:val="22"/>
          <w:szCs w:val="22"/>
        </w:rPr>
      </w:pPr>
      <w:r w:rsidRPr="00052382">
        <w:rPr>
          <w:rFonts w:ascii="Verdana" w:hAnsi="Verdana"/>
          <w:sz w:val="22"/>
          <w:szCs w:val="22"/>
        </w:rPr>
        <w:t>All kindergarten students in Grand Ledge Public Schools attend the Neff Early Childhood and Kindergarten Center.  Elementary students in 1</w:t>
      </w:r>
      <w:r w:rsidRPr="00052382">
        <w:rPr>
          <w:rFonts w:ascii="Verdana" w:hAnsi="Verdana"/>
          <w:sz w:val="22"/>
          <w:szCs w:val="22"/>
          <w:vertAlign w:val="superscript"/>
        </w:rPr>
        <w:t>st</w:t>
      </w:r>
      <w:r w:rsidRPr="00052382">
        <w:rPr>
          <w:rFonts w:ascii="Verdana" w:hAnsi="Verdana"/>
          <w:sz w:val="22"/>
          <w:szCs w:val="22"/>
        </w:rPr>
        <w:t>-6</w:t>
      </w:r>
      <w:r w:rsidRPr="00052382">
        <w:rPr>
          <w:rFonts w:ascii="Verdana" w:hAnsi="Verdana"/>
          <w:sz w:val="22"/>
          <w:szCs w:val="22"/>
          <w:vertAlign w:val="superscript"/>
        </w:rPr>
        <w:t>th</w:t>
      </w:r>
      <w:r w:rsidRPr="00052382">
        <w:rPr>
          <w:rFonts w:ascii="Verdana" w:hAnsi="Verdana"/>
          <w:sz w:val="22"/>
          <w:szCs w:val="22"/>
        </w:rPr>
        <w:t xml:space="preserve"> grade attend one of four elementary schools in the district and are assigned an elementary building based upon the attendance area of their primary residence in the district. </w:t>
      </w:r>
    </w:p>
    <w:p w14:paraId="0BBCF5F0" w14:textId="77777777" w:rsidR="0046051C" w:rsidRPr="00052382" w:rsidRDefault="0046051C" w:rsidP="00120B49">
      <w:pPr>
        <w:rPr>
          <w:rFonts w:ascii="Verdana" w:hAnsi="Verdana"/>
          <w:sz w:val="22"/>
          <w:szCs w:val="22"/>
        </w:rPr>
      </w:pPr>
    </w:p>
    <w:p w14:paraId="6B33A943" w14:textId="77777777" w:rsidR="0046051C" w:rsidRPr="00052382" w:rsidRDefault="0046051C" w:rsidP="0046051C">
      <w:pPr>
        <w:rPr>
          <w:rFonts w:ascii="Verdana" w:hAnsi="Verdana"/>
          <w:b/>
          <w:sz w:val="22"/>
          <w:szCs w:val="22"/>
          <w:u w:val="single"/>
        </w:rPr>
      </w:pPr>
      <w:r w:rsidRPr="00052382">
        <w:rPr>
          <w:rFonts w:ascii="Verdana" w:hAnsi="Verdana"/>
          <w:b/>
          <w:sz w:val="22"/>
          <w:szCs w:val="22"/>
          <w:u w:val="single"/>
        </w:rPr>
        <w:t xml:space="preserve">THE STATUS OF THE 3-5 YEAR SCHOOL IMPROVEMENT PLAN </w:t>
      </w:r>
    </w:p>
    <w:p w14:paraId="37F16E92" w14:textId="6A30FBA6" w:rsidR="0046051C" w:rsidRPr="00052382" w:rsidRDefault="0046051C" w:rsidP="0046051C">
      <w:pPr>
        <w:rPr>
          <w:rFonts w:ascii="Verdana" w:hAnsi="Verdana"/>
          <w:sz w:val="22"/>
          <w:szCs w:val="22"/>
        </w:rPr>
      </w:pPr>
      <w:r w:rsidRPr="00052382">
        <w:rPr>
          <w:rFonts w:ascii="Verdana" w:hAnsi="Verdana"/>
          <w:sz w:val="22"/>
          <w:szCs w:val="22"/>
        </w:rPr>
        <w:t xml:space="preserve">Principal </w:t>
      </w:r>
      <w:proofErr w:type="spellStart"/>
      <w:r w:rsidRPr="00052382">
        <w:rPr>
          <w:rFonts w:ascii="Verdana" w:hAnsi="Verdana"/>
          <w:sz w:val="22"/>
          <w:szCs w:val="22"/>
        </w:rPr>
        <w:t>Kennaugh</w:t>
      </w:r>
      <w:proofErr w:type="spellEnd"/>
      <w:r w:rsidRPr="00052382">
        <w:rPr>
          <w:rFonts w:ascii="Verdana" w:hAnsi="Verdana"/>
          <w:sz w:val="22"/>
          <w:szCs w:val="22"/>
        </w:rPr>
        <w:t xml:space="preserve"> and a team of teachers worked in the 2014-15 school year on the school’s school improvement plan.  Studying data and identifying achievement gaps was a part of this process; the school improvement plan has been revised to include strategies and </w:t>
      </w:r>
      <w:r w:rsidRPr="00052382">
        <w:rPr>
          <w:rFonts w:ascii="Verdana" w:hAnsi="Verdana"/>
          <w:sz w:val="22"/>
          <w:szCs w:val="22"/>
        </w:rPr>
        <w:lastRenderedPageBreak/>
        <w:t>interventions that will assist staff in raising student achievement.</w:t>
      </w:r>
      <w:r w:rsidR="0020225B">
        <w:rPr>
          <w:rFonts w:ascii="Verdana" w:hAnsi="Verdana"/>
          <w:sz w:val="22"/>
          <w:szCs w:val="22"/>
        </w:rPr>
        <w:t xml:space="preserve">  That plan is revisited and revised yearly.  Our </w:t>
      </w:r>
      <w:r w:rsidR="00222130">
        <w:rPr>
          <w:rFonts w:ascii="Verdana" w:hAnsi="Verdana"/>
          <w:sz w:val="22"/>
          <w:szCs w:val="22"/>
        </w:rPr>
        <w:t xml:space="preserve">ultimate </w:t>
      </w:r>
      <w:r w:rsidR="0020225B">
        <w:rPr>
          <w:rFonts w:ascii="Verdana" w:hAnsi="Verdana"/>
          <w:sz w:val="22"/>
          <w:szCs w:val="22"/>
        </w:rPr>
        <w:t>goal remain the same, however:  improved student achievement.</w:t>
      </w:r>
    </w:p>
    <w:p w14:paraId="442B9B00" w14:textId="77777777" w:rsidR="0046051C" w:rsidRPr="00052382" w:rsidRDefault="0046051C" w:rsidP="0046051C">
      <w:pPr>
        <w:rPr>
          <w:rFonts w:ascii="Verdana" w:hAnsi="Verdana"/>
          <w:sz w:val="22"/>
          <w:szCs w:val="22"/>
        </w:rPr>
      </w:pPr>
    </w:p>
    <w:p w14:paraId="3246C276" w14:textId="1F76F03C" w:rsidR="0046051C" w:rsidRPr="00052382" w:rsidRDefault="0046051C" w:rsidP="0046051C">
      <w:pPr>
        <w:rPr>
          <w:rFonts w:ascii="Verdana" w:hAnsi="Verdana"/>
          <w:b/>
          <w:sz w:val="22"/>
          <w:szCs w:val="22"/>
          <w:u w:val="single"/>
        </w:rPr>
      </w:pPr>
      <w:r w:rsidRPr="00052382">
        <w:rPr>
          <w:rFonts w:ascii="Verdana" w:hAnsi="Verdana"/>
          <w:b/>
          <w:sz w:val="22"/>
          <w:szCs w:val="22"/>
          <w:u w:val="single"/>
        </w:rPr>
        <w:t xml:space="preserve">DESCRIPTION OF THE CORE CURRICULUM AND ITS IMPLEMENTATION </w:t>
      </w:r>
    </w:p>
    <w:p w14:paraId="5F9EFCC9" w14:textId="3E800441" w:rsidR="0046051C" w:rsidRPr="00052382" w:rsidRDefault="003647A5" w:rsidP="0046051C">
      <w:pPr>
        <w:rPr>
          <w:rFonts w:ascii="Verdana" w:hAnsi="Verdana"/>
          <w:sz w:val="22"/>
          <w:szCs w:val="22"/>
        </w:rPr>
      </w:pPr>
      <w:r>
        <w:rPr>
          <w:rFonts w:ascii="Verdana" w:hAnsi="Verdana"/>
          <w:sz w:val="22"/>
          <w:szCs w:val="22"/>
        </w:rPr>
        <w:t>Information about our</w:t>
      </w:r>
      <w:r w:rsidR="0046051C" w:rsidRPr="00052382">
        <w:rPr>
          <w:rFonts w:ascii="Verdana" w:hAnsi="Verdana"/>
          <w:sz w:val="22"/>
          <w:szCs w:val="22"/>
        </w:rPr>
        <w:t xml:space="preserve"> core curriculum can be found at the following link:  http://glcomets.net/ourdistrict/administrativedepartme</w:t>
      </w:r>
      <w:r>
        <w:rPr>
          <w:rFonts w:ascii="Verdana" w:hAnsi="Verdana"/>
          <w:sz w:val="22"/>
          <w:szCs w:val="22"/>
        </w:rPr>
        <w:t>nts/academicservices/</w:t>
      </w:r>
    </w:p>
    <w:p w14:paraId="715495A4" w14:textId="77777777" w:rsidR="0046051C" w:rsidRPr="00052382" w:rsidRDefault="0046051C" w:rsidP="0046051C">
      <w:pPr>
        <w:rPr>
          <w:rFonts w:ascii="Verdana" w:hAnsi="Verdana"/>
          <w:sz w:val="22"/>
          <w:szCs w:val="22"/>
        </w:rPr>
      </w:pPr>
    </w:p>
    <w:p w14:paraId="54FDA0A0" w14:textId="77777777" w:rsidR="0046051C" w:rsidRPr="00052382" w:rsidRDefault="0046051C" w:rsidP="0046051C">
      <w:pPr>
        <w:rPr>
          <w:rFonts w:ascii="Verdana" w:hAnsi="Verdana"/>
          <w:sz w:val="22"/>
          <w:szCs w:val="22"/>
        </w:rPr>
      </w:pPr>
      <w:r w:rsidRPr="00052382">
        <w:rPr>
          <w:rFonts w:ascii="Verdana" w:hAnsi="Verdana"/>
          <w:sz w:val="22"/>
          <w:szCs w:val="22"/>
        </w:rPr>
        <w:t>Each K-6 teacher has a grade level curriculum map that details the key concepts, instructional materials, and assessment tasks for each subject in the core curriculum (English/language arts, math, science, social studies).  The maps are written to ensure all students are progressing through the curriculum in a consistent way from classroom to classroom and grade level to grade level.  It is the responsibility of each building administrator to ensure that each teacher implements the curriculum as detailed in the curriculum map.</w:t>
      </w:r>
    </w:p>
    <w:p w14:paraId="2107F145" w14:textId="77777777" w:rsidR="0046051C" w:rsidRPr="00052382" w:rsidRDefault="0046051C" w:rsidP="0046051C">
      <w:pPr>
        <w:rPr>
          <w:rFonts w:ascii="Verdana" w:hAnsi="Verdana"/>
          <w:sz w:val="22"/>
          <w:szCs w:val="22"/>
        </w:rPr>
      </w:pPr>
    </w:p>
    <w:p w14:paraId="48BFA10F" w14:textId="27C307B1" w:rsidR="0046051C" w:rsidRPr="00052382" w:rsidRDefault="0046051C" w:rsidP="0046051C">
      <w:pPr>
        <w:rPr>
          <w:rFonts w:ascii="Verdana" w:hAnsi="Verdana"/>
          <w:sz w:val="22"/>
          <w:szCs w:val="22"/>
        </w:rPr>
      </w:pPr>
      <w:r w:rsidRPr="00052382">
        <w:rPr>
          <w:rFonts w:ascii="Verdana" w:hAnsi="Verdana"/>
          <w:sz w:val="22"/>
          <w:szCs w:val="22"/>
        </w:rPr>
        <w:t xml:space="preserve">Further, the mathematics and literacy curriculum is aligned with the Standards.  Science and social studies are currently aligned with the Michigan Department of Education Grade Level Content Expectations.  </w:t>
      </w:r>
      <w:r w:rsidR="00A2006C" w:rsidRPr="00052382">
        <w:rPr>
          <w:rFonts w:ascii="Verdana" w:hAnsi="Verdana"/>
          <w:sz w:val="22"/>
          <w:szCs w:val="22"/>
        </w:rPr>
        <w:t xml:space="preserve">We have also </w:t>
      </w:r>
      <w:r w:rsidRPr="00052382">
        <w:rPr>
          <w:rFonts w:ascii="Verdana" w:hAnsi="Verdana"/>
          <w:sz w:val="22"/>
          <w:szCs w:val="22"/>
        </w:rPr>
        <w:t>implement</w:t>
      </w:r>
      <w:r w:rsidR="00A2006C" w:rsidRPr="00052382">
        <w:rPr>
          <w:rFonts w:ascii="Verdana" w:hAnsi="Verdana"/>
          <w:sz w:val="22"/>
          <w:szCs w:val="22"/>
        </w:rPr>
        <w:t xml:space="preserve">ed a </w:t>
      </w:r>
      <w:r w:rsidRPr="00052382">
        <w:rPr>
          <w:rFonts w:ascii="Verdana" w:hAnsi="Verdana"/>
          <w:sz w:val="22"/>
          <w:szCs w:val="22"/>
        </w:rPr>
        <w:t>standards-based report card that is also aligned with the Standards for Literacy and Mathematics.</w:t>
      </w:r>
    </w:p>
    <w:p w14:paraId="7A9290BE" w14:textId="77777777" w:rsidR="0046051C" w:rsidRPr="00052382" w:rsidRDefault="0046051C" w:rsidP="0046051C">
      <w:pPr>
        <w:rPr>
          <w:rFonts w:ascii="Verdana" w:hAnsi="Verdana"/>
          <w:sz w:val="22"/>
          <w:szCs w:val="22"/>
        </w:rPr>
      </w:pPr>
    </w:p>
    <w:p w14:paraId="7EBC9310" w14:textId="000AD664" w:rsidR="0046051C" w:rsidRPr="00052382" w:rsidRDefault="0046051C" w:rsidP="0046051C">
      <w:pPr>
        <w:rPr>
          <w:rFonts w:ascii="Verdana" w:hAnsi="Verdana"/>
          <w:b/>
          <w:sz w:val="22"/>
          <w:szCs w:val="22"/>
          <w:u w:val="single"/>
        </w:rPr>
      </w:pPr>
      <w:r w:rsidRPr="00052382">
        <w:rPr>
          <w:rFonts w:ascii="Verdana" w:hAnsi="Verdana"/>
          <w:b/>
          <w:sz w:val="22"/>
          <w:szCs w:val="22"/>
          <w:u w:val="single"/>
        </w:rPr>
        <w:t>DESCRIPTION OF THE AGGREGATE STUDENT ACHIEVEMENT RESULTS FOR THE DIBELS ASSESSMENT</w:t>
      </w:r>
    </w:p>
    <w:p w14:paraId="2362CC0B" w14:textId="6C159AAC" w:rsidR="0046051C" w:rsidRPr="00052382" w:rsidRDefault="00537B61" w:rsidP="0046051C">
      <w:pPr>
        <w:rPr>
          <w:rFonts w:ascii="Verdana" w:hAnsi="Verdana"/>
          <w:sz w:val="22"/>
          <w:szCs w:val="22"/>
        </w:rPr>
      </w:pPr>
      <w:r>
        <w:rPr>
          <w:rFonts w:ascii="Verdana" w:hAnsi="Verdana"/>
          <w:sz w:val="22"/>
          <w:szCs w:val="22"/>
        </w:rPr>
        <w:t xml:space="preserve">The </w:t>
      </w:r>
      <w:r w:rsidR="0046051C" w:rsidRPr="00052382">
        <w:rPr>
          <w:rFonts w:ascii="Verdana" w:hAnsi="Verdana"/>
          <w:sz w:val="22"/>
          <w:szCs w:val="22"/>
        </w:rPr>
        <w:t xml:space="preserve">DIBELS (Dynamic Indicators of Basic Early Literacy Skills) </w:t>
      </w:r>
      <w:r>
        <w:rPr>
          <w:rFonts w:ascii="Verdana" w:hAnsi="Verdana"/>
          <w:sz w:val="22"/>
          <w:szCs w:val="22"/>
        </w:rPr>
        <w:t xml:space="preserve">assessment </w:t>
      </w:r>
      <w:r w:rsidR="0046051C" w:rsidRPr="00052382">
        <w:rPr>
          <w:rFonts w:ascii="Verdana" w:hAnsi="Verdana"/>
          <w:sz w:val="22"/>
          <w:szCs w:val="22"/>
        </w:rPr>
        <w:t>show</w:t>
      </w:r>
      <w:r>
        <w:rPr>
          <w:rFonts w:ascii="Verdana" w:hAnsi="Verdana"/>
          <w:sz w:val="22"/>
          <w:szCs w:val="22"/>
        </w:rPr>
        <w:t>s</w:t>
      </w:r>
      <w:r w:rsidR="0046051C" w:rsidRPr="00052382">
        <w:rPr>
          <w:rFonts w:ascii="Verdana" w:hAnsi="Verdana"/>
          <w:sz w:val="22"/>
          <w:szCs w:val="22"/>
        </w:rPr>
        <w:t xml:space="preserve"> an improvement since Beagle Elementary was formed.  See the chart below for the specific data. </w:t>
      </w:r>
    </w:p>
    <w:p w14:paraId="203A85F5" w14:textId="77777777" w:rsidR="0046051C" w:rsidRPr="00750359" w:rsidRDefault="0046051C" w:rsidP="0046051C">
      <w:pPr>
        <w:rPr>
          <w:b/>
        </w:rPr>
      </w:pPr>
    </w:p>
    <w:p w14:paraId="0031D82E" w14:textId="77777777" w:rsidR="0046051C" w:rsidRPr="00750359" w:rsidRDefault="0046051C" w:rsidP="00750359">
      <w:pPr>
        <w:jc w:val="center"/>
        <w:rPr>
          <w:b/>
        </w:rPr>
      </w:pPr>
      <w:r w:rsidRPr="00750359">
        <w:rPr>
          <w:b/>
        </w:rPr>
        <w:t>Percentage of Students at Benchmark on DIBELS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9"/>
        <w:gridCol w:w="1058"/>
        <w:gridCol w:w="1058"/>
        <w:gridCol w:w="1059"/>
        <w:gridCol w:w="1058"/>
        <w:gridCol w:w="1059"/>
        <w:gridCol w:w="1059"/>
        <w:gridCol w:w="1059"/>
      </w:tblGrid>
      <w:tr w:rsidR="00F70E40" w14:paraId="77DD1D43" w14:textId="0080A459" w:rsidTr="00F70E40">
        <w:trPr>
          <w:jc w:val="center"/>
        </w:trPr>
        <w:tc>
          <w:tcPr>
            <w:tcW w:w="1059" w:type="dxa"/>
          </w:tcPr>
          <w:p w14:paraId="1BF24FB7" w14:textId="71135290" w:rsidR="00F70E40" w:rsidRDefault="00F70E40" w:rsidP="00750359">
            <w:pPr>
              <w:jc w:val="center"/>
            </w:pPr>
            <w:r>
              <w:t>Fall</w:t>
            </w:r>
          </w:p>
          <w:p w14:paraId="39E8E7DD" w14:textId="77777777" w:rsidR="00F70E40" w:rsidRDefault="00F70E40" w:rsidP="00750359">
            <w:pPr>
              <w:jc w:val="center"/>
            </w:pPr>
            <w:r>
              <w:t>2012</w:t>
            </w:r>
          </w:p>
        </w:tc>
        <w:tc>
          <w:tcPr>
            <w:tcW w:w="1058" w:type="dxa"/>
          </w:tcPr>
          <w:p w14:paraId="3713CE98" w14:textId="77777777" w:rsidR="00F70E40" w:rsidRDefault="00F70E40" w:rsidP="00750359">
            <w:pPr>
              <w:jc w:val="center"/>
            </w:pPr>
            <w:r>
              <w:t>Spring 2013</w:t>
            </w:r>
          </w:p>
        </w:tc>
        <w:tc>
          <w:tcPr>
            <w:tcW w:w="1058" w:type="dxa"/>
          </w:tcPr>
          <w:p w14:paraId="0DE977BC" w14:textId="0D53408C" w:rsidR="00F70E40" w:rsidRDefault="00F70E40" w:rsidP="00750359">
            <w:pPr>
              <w:jc w:val="center"/>
            </w:pPr>
            <w:r>
              <w:t>Fall</w:t>
            </w:r>
          </w:p>
          <w:p w14:paraId="50A32AF5" w14:textId="77777777" w:rsidR="00F70E40" w:rsidRDefault="00F70E40" w:rsidP="00750359">
            <w:pPr>
              <w:jc w:val="center"/>
            </w:pPr>
            <w:r>
              <w:t>2013</w:t>
            </w:r>
          </w:p>
        </w:tc>
        <w:tc>
          <w:tcPr>
            <w:tcW w:w="1059" w:type="dxa"/>
          </w:tcPr>
          <w:p w14:paraId="1EB3D3AB" w14:textId="77777777" w:rsidR="00F70E40" w:rsidRDefault="00F70E40" w:rsidP="00750359">
            <w:pPr>
              <w:jc w:val="center"/>
            </w:pPr>
            <w:r>
              <w:t>Spring</w:t>
            </w:r>
          </w:p>
          <w:p w14:paraId="73CC18B7" w14:textId="77777777" w:rsidR="00F70E40" w:rsidRDefault="00F70E40" w:rsidP="00750359">
            <w:pPr>
              <w:jc w:val="center"/>
            </w:pPr>
            <w:r>
              <w:t>2014</w:t>
            </w:r>
          </w:p>
        </w:tc>
        <w:tc>
          <w:tcPr>
            <w:tcW w:w="1058" w:type="dxa"/>
          </w:tcPr>
          <w:p w14:paraId="78508842" w14:textId="36CE5CB4" w:rsidR="00F70E40" w:rsidRDefault="00F70E40" w:rsidP="00750359">
            <w:pPr>
              <w:jc w:val="center"/>
            </w:pPr>
            <w:r>
              <w:t>Fall 2014</w:t>
            </w:r>
          </w:p>
        </w:tc>
        <w:tc>
          <w:tcPr>
            <w:tcW w:w="1059" w:type="dxa"/>
          </w:tcPr>
          <w:p w14:paraId="25C73D95" w14:textId="77777777" w:rsidR="00F70E40" w:rsidRDefault="00F70E40" w:rsidP="00750359">
            <w:pPr>
              <w:jc w:val="center"/>
            </w:pPr>
            <w:r>
              <w:t>Spring</w:t>
            </w:r>
          </w:p>
          <w:p w14:paraId="7F27CCDD" w14:textId="72EBA79A" w:rsidR="00F70E40" w:rsidRDefault="00F70E40" w:rsidP="00750359">
            <w:pPr>
              <w:jc w:val="center"/>
            </w:pPr>
            <w:r>
              <w:t>2015</w:t>
            </w:r>
          </w:p>
        </w:tc>
        <w:tc>
          <w:tcPr>
            <w:tcW w:w="1059" w:type="dxa"/>
          </w:tcPr>
          <w:p w14:paraId="5C26A36C" w14:textId="3E209057" w:rsidR="00F70E40" w:rsidRDefault="00F70E40" w:rsidP="00750359">
            <w:pPr>
              <w:jc w:val="center"/>
            </w:pPr>
            <w:r>
              <w:t>Fall 2015*</w:t>
            </w:r>
          </w:p>
        </w:tc>
        <w:tc>
          <w:tcPr>
            <w:tcW w:w="1059" w:type="dxa"/>
          </w:tcPr>
          <w:p w14:paraId="622D93D7" w14:textId="024E3014" w:rsidR="00F70E40" w:rsidRDefault="00F70E40" w:rsidP="00750359">
            <w:pPr>
              <w:jc w:val="center"/>
            </w:pPr>
            <w:r>
              <w:t>Spring 2016*</w:t>
            </w:r>
          </w:p>
        </w:tc>
      </w:tr>
      <w:tr w:rsidR="00F70E40" w14:paraId="78CA9723" w14:textId="098D9114" w:rsidTr="00F70E40">
        <w:trPr>
          <w:jc w:val="center"/>
        </w:trPr>
        <w:tc>
          <w:tcPr>
            <w:tcW w:w="1059" w:type="dxa"/>
          </w:tcPr>
          <w:p w14:paraId="0C004960" w14:textId="77777777" w:rsidR="00F70E40" w:rsidRDefault="00F70E40" w:rsidP="00750359">
            <w:pPr>
              <w:jc w:val="center"/>
            </w:pPr>
            <w:r>
              <w:t>70</w:t>
            </w:r>
          </w:p>
        </w:tc>
        <w:tc>
          <w:tcPr>
            <w:tcW w:w="1058" w:type="dxa"/>
          </w:tcPr>
          <w:p w14:paraId="020BA59F" w14:textId="77777777" w:rsidR="00F70E40" w:rsidRDefault="00F70E40" w:rsidP="00750359">
            <w:pPr>
              <w:jc w:val="center"/>
            </w:pPr>
            <w:r>
              <w:t>73</w:t>
            </w:r>
          </w:p>
        </w:tc>
        <w:tc>
          <w:tcPr>
            <w:tcW w:w="1058" w:type="dxa"/>
          </w:tcPr>
          <w:p w14:paraId="13DD6BA7" w14:textId="77777777" w:rsidR="00F70E40" w:rsidRDefault="00F70E40" w:rsidP="00750359">
            <w:pPr>
              <w:jc w:val="center"/>
            </w:pPr>
            <w:r>
              <w:t>73</w:t>
            </w:r>
          </w:p>
        </w:tc>
        <w:tc>
          <w:tcPr>
            <w:tcW w:w="1059" w:type="dxa"/>
          </w:tcPr>
          <w:p w14:paraId="3077A390" w14:textId="77777777" w:rsidR="00F70E40" w:rsidRDefault="00F70E40" w:rsidP="00750359">
            <w:pPr>
              <w:jc w:val="center"/>
            </w:pPr>
            <w:r>
              <w:t>73</w:t>
            </w:r>
          </w:p>
        </w:tc>
        <w:tc>
          <w:tcPr>
            <w:tcW w:w="1058" w:type="dxa"/>
          </w:tcPr>
          <w:p w14:paraId="3905334F" w14:textId="6596D26C" w:rsidR="00F70E40" w:rsidRDefault="00F70E40" w:rsidP="00750359">
            <w:pPr>
              <w:jc w:val="center"/>
            </w:pPr>
            <w:r>
              <w:t>72</w:t>
            </w:r>
          </w:p>
        </w:tc>
        <w:tc>
          <w:tcPr>
            <w:tcW w:w="1059" w:type="dxa"/>
          </w:tcPr>
          <w:p w14:paraId="3CA8E7B8" w14:textId="66137563" w:rsidR="00F70E40" w:rsidRDefault="00F70E40" w:rsidP="00750359">
            <w:pPr>
              <w:jc w:val="center"/>
            </w:pPr>
            <w:r>
              <w:t>80</w:t>
            </w:r>
          </w:p>
        </w:tc>
        <w:tc>
          <w:tcPr>
            <w:tcW w:w="1059" w:type="dxa"/>
          </w:tcPr>
          <w:p w14:paraId="44AFA745" w14:textId="6EA83E2E" w:rsidR="00F70E40" w:rsidRDefault="00F70E40" w:rsidP="00750359">
            <w:pPr>
              <w:jc w:val="center"/>
            </w:pPr>
            <w:r>
              <w:t>77</w:t>
            </w:r>
          </w:p>
        </w:tc>
        <w:tc>
          <w:tcPr>
            <w:tcW w:w="1059" w:type="dxa"/>
          </w:tcPr>
          <w:p w14:paraId="17034F69" w14:textId="4766643F" w:rsidR="00F70E40" w:rsidRDefault="00F70E40" w:rsidP="00750359">
            <w:pPr>
              <w:jc w:val="center"/>
            </w:pPr>
            <w:r>
              <w:t>80</w:t>
            </w:r>
          </w:p>
        </w:tc>
      </w:tr>
    </w:tbl>
    <w:p w14:paraId="0F151307" w14:textId="1AE37E4F" w:rsidR="0046051C" w:rsidRDefault="00F70E40" w:rsidP="00F70E40">
      <w:pPr>
        <w:ind w:left="720"/>
      </w:pPr>
      <w:r>
        <w:t>*</w:t>
      </w:r>
      <w:proofErr w:type="gramStart"/>
      <w:r>
        <w:t>excludes</w:t>
      </w:r>
      <w:proofErr w:type="gramEnd"/>
      <w:r>
        <w:t xml:space="preserve"> 6</w:t>
      </w:r>
      <w:r w:rsidRPr="00F70E40">
        <w:rPr>
          <w:vertAlign w:val="superscript"/>
        </w:rPr>
        <w:t>th</w:t>
      </w:r>
      <w:r>
        <w:t xml:space="preserve"> grade, as they did not participate in DIBELS</w:t>
      </w:r>
    </w:p>
    <w:p w14:paraId="1C2B60FD" w14:textId="77777777" w:rsidR="00D31C40" w:rsidRPr="00052382" w:rsidRDefault="00D31C40" w:rsidP="00120B49">
      <w:pPr>
        <w:rPr>
          <w:rFonts w:ascii="Verdana" w:hAnsi="Verdana"/>
          <w:sz w:val="22"/>
          <w:szCs w:val="22"/>
        </w:rPr>
      </w:pPr>
    </w:p>
    <w:p w14:paraId="2CF9F519" w14:textId="77777777" w:rsidR="009E3824" w:rsidRPr="00052382" w:rsidRDefault="009E3824" w:rsidP="009E3824">
      <w:pPr>
        <w:rPr>
          <w:rFonts w:ascii="Verdana" w:hAnsi="Verdana"/>
          <w:b/>
          <w:u w:val="single"/>
        </w:rPr>
      </w:pPr>
      <w:r w:rsidRPr="00052382">
        <w:rPr>
          <w:rFonts w:ascii="Verdana" w:hAnsi="Verdana"/>
          <w:b/>
          <w:u w:val="single"/>
        </w:rPr>
        <w:t>PARENT TEACHER CONFERENCE ATTENDANCE DATA</w:t>
      </w:r>
    </w:p>
    <w:p w14:paraId="0C3C7BF4" w14:textId="77777777" w:rsidR="009E3824" w:rsidRDefault="009E3824" w:rsidP="009E3824">
      <w:pPr>
        <w:rPr>
          <w:b/>
          <w:u w:val="single"/>
        </w:rPr>
      </w:pPr>
    </w:p>
    <w:p w14:paraId="1DEDD07B" w14:textId="4763B921" w:rsidR="002D5391" w:rsidRPr="002D5391" w:rsidRDefault="002D5391" w:rsidP="002D5391">
      <w:pPr>
        <w:jc w:val="center"/>
        <w:rPr>
          <w:b/>
        </w:rPr>
      </w:pPr>
      <w:r>
        <w:rPr>
          <w:b/>
        </w:rPr>
        <w:t xml:space="preserve">Percentage of Students </w:t>
      </w:r>
      <w:proofErr w:type="gramStart"/>
      <w:r>
        <w:rPr>
          <w:b/>
        </w:rPr>
        <w:t>Whose</w:t>
      </w:r>
      <w:proofErr w:type="gramEnd"/>
      <w:r>
        <w:rPr>
          <w:b/>
        </w:rPr>
        <w:t xml:space="preserve"> Parents Attended Conferences</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03"/>
        <w:gridCol w:w="1003"/>
        <w:gridCol w:w="1003"/>
        <w:gridCol w:w="1003"/>
        <w:gridCol w:w="1003"/>
        <w:gridCol w:w="1003"/>
        <w:gridCol w:w="1003"/>
        <w:gridCol w:w="1003"/>
      </w:tblGrid>
      <w:tr w:rsidR="00F70E40" w:rsidRPr="00C608ED" w14:paraId="239CB5A8" w14:textId="70493A08" w:rsidTr="00F70E40">
        <w:trPr>
          <w:jc w:val="center"/>
        </w:trPr>
        <w:tc>
          <w:tcPr>
            <w:tcW w:w="1003" w:type="dxa"/>
            <w:shd w:val="clear" w:color="auto" w:fill="auto"/>
          </w:tcPr>
          <w:p w14:paraId="77EB68C5" w14:textId="77777777" w:rsidR="00F70E40" w:rsidRPr="00C608ED" w:rsidRDefault="00F70E40" w:rsidP="00A2006C">
            <w:pPr>
              <w:rPr>
                <w:b/>
              </w:rPr>
            </w:pPr>
          </w:p>
          <w:p w14:paraId="1D1F39EA" w14:textId="77777777" w:rsidR="00F70E40" w:rsidRPr="00C608ED" w:rsidRDefault="00F70E40" w:rsidP="00A2006C">
            <w:pPr>
              <w:jc w:val="center"/>
              <w:rPr>
                <w:b/>
              </w:rPr>
            </w:pPr>
            <w:r w:rsidRPr="00C608ED">
              <w:rPr>
                <w:b/>
              </w:rPr>
              <w:t>Grade</w:t>
            </w:r>
          </w:p>
          <w:p w14:paraId="51FD92A9" w14:textId="77777777" w:rsidR="00F70E40" w:rsidRPr="00C608ED" w:rsidRDefault="00F70E40" w:rsidP="00A2006C">
            <w:pPr>
              <w:rPr>
                <w:b/>
              </w:rPr>
            </w:pPr>
          </w:p>
        </w:tc>
        <w:tc>
          <w:tcPr>
            <w:tcW w:w="1003" w:type="dxa"/>
            <w:shd w:val="clear" w:color="auto" w:fill="auto"/>
          </w:tcPr>
          <w:p w14:paraId="29524377" w14:textId="77777777" w:rsidR="00F70E40" w:rsidRPr="00C608ED" w:rsidRDefault="00F70E40" w:rsidP="00A2006C">
            <w:pPr>
              <w:jc w:val="center"/>
              <w:rPr>
                <w:b/>
              </w:rPr>
            </w:pPr>
          </w:p>
          <w:p w14:paraId="53F2EEEA" w14:textId="77777777" w:rsidR="00F70E40" w:rsidRPr="00C608ED" w:rsidRDefault="00F70E40" w:rsidP="00A2006C">
            <w:pPr>
              <w:jc w:val="center"/>
              <w:rPr>
                <w:b/>
              </w:rPr>
            </w:pPr>
            <w:r w:rsidRPr="00C608ED">
              <w:rPr>
                <w:b/>
              </w:rPr>
              <w:t>Fall</w:t>
            </w:r>
          </w:p>
          <w:p w14:paraId="29C47A2D" w14:textId="77777777" w:rsidR="00F70E40" w:rsidRPr="00C608ED" w:rsidRDefault="00F70E40" w:rsidP="00A2006C">
            <w:pPr>
              <w:jc w:val="center"/>
              <w:rPr>
                <w:b/>
              </w:rPr>
            </w:pPr>
            <w:r w:rsidRPr="00C608ED">
              <w:rPr>
                <w:b/>
              </w:rPr>
              <w:t>2012</w:t>
            </w:r>
          </w:p>
        </w:tc>
        <w:tc>
          <w:tcPr>
            <w:tcW w:w="1003" w:type="dxa"/>
            <w:shd w:val="clear" w:color="auto" w:fill="auto"/>
          </w:tcPr>
          <w:p w14:paraId="718FCACA" w14:textId="77777777" w:rsidR="00F70E40" w:rsidRPr="00C608ED" w:rsidRDefault="00F70E40" w:rsidP="00A2006C">
            <w:pPr>
              <w:jc w:val="center"/>
              <w:rPr>
                <w:b/>
              </w:rPr>
            </w:pPr>
          </w:p>
          <w:p w14:paraId="34639B4C" w14:textId="77777777" w:rsidR="00F70E40" w:rsidRPr="00C608ED" w:rsidRDefault="00F70E40" w:rsidP="00A2006C">
            <w:pPr>
              <w:jc w:val="center"/>
              <w:rPr>
                <w:b/>
              </w:rPr>
            </w:pPr>
            <w:r w:rsidRPr="00C608ED">
              <w:rPr>
                <w:b/>
              </w:rPr>
              <w:t xml:space="preserve">Spring </w:t>
            </w:r>
          </w:p>
          <w:p w14:paraId="6C498C72" w14:textId="77777777" w:rsidR="00F70E40" w:rsidRPr="00C608ED" w:rsidRDefault="00F70E40" w:rsidP="00A2006C">
            <w:pPr>
              <w:jc w:val="center"/>
              <w:rPr>
                <w:b/>
              </w:rPr>
            </w:pPr>
            <w:r w:rsidRPr="00C608ED">
              <w:rPr>
                <w:b/>
              </w:rPr>
              <w:t>2013</w:t>
            </w:r>
          </w:p>
        </w:tc>
        <w:tc>
          <w:tcPr>
            <w:tcW w:w="1003" w:type="dxa"/>
          </w:tcPr>
          <w:p w14:paraId="5C9DE973" w14:textId="77777777" w:rsidR="00F70E40" w:rsidRDefault="00F70E40" w:rsidP="00A2006C">
            <w:pPr>
              <w:jc w:val="center"/>
              <w:rPr>
                <w:b/>
              </w:rPr>
            </w:pPr>
          </w:p>
          <w:p w14:paraId="3111BA51" w14:textId="77777777" w:rsidR="00F70E40" w:rsidRDefault="00F70E40" w:rsidP="00A2006C">
            <w:pPr>
              <w:jc w:val="center"/>
              <w:rPr>
                <w:b/>
              </w:rPr>
            </w:pPr>
            <w:r>
              <w:rPr>
                <w:b/>
              </w:rPr>
              <w:t xml:space="preserve">Fall </w:t>
            </w:r>
          </w:p>
          <w:p w14:paraId="10259197" w14:textId="77777777" w:rsidR="00F70E40" w:rsidRPr="00C608ED" w:rsidRDefault="00F70E40" w:rsidP="00A2006C">
            <w:pPr>
              <w:jc w:val="center"/>
              <w:rPr>
                <w:b/>
              </w:rPr>
            </w:pPr>
            <w:r>
              <w:rPr>
                <w:b/>
              </w:rPr>
              <w:t>2013</w:t>
            </w:r>
          </w:p>
        </w:tc>
        <w:tc>
          <w:tcPr>
            <w:tcW w:w="1003" w:type="dxa"/>
          </w:tcPr>
          <w:p w14:paraId="0C4F115F" w14:textId="77777777" w:rsidR="00F70E40" w:rsidRDefault="00F70E40" w:rsidP="00A2006C">
            <w:pPr>
              <w:jc w:val="center"/>
              <w:rPr>
                <w:b/>
              </w:rPr>
            </w:pPr>
          </w:p>
          <w:p w14:paraId="505A0FE0" w14:textId="77777777" w:rsidR="00F70E40" w:rsidRDefault="00F70E40" w:rsidP="00A2006C">
            <w:pPr>
              <w:jc w:val="center"/>
              <w:rPr>
                <w:b/>
              </w:rPr>
            </w:pPr>
            <w:r>
              <w:rPr>
                <w:b/>
              </w:rPr>
              <w:t>Spring</w:t>
            </w:r>
          </w:p>
          <w:p w14:paraId="2A1FDE37" w14:textId="77777777" w:rsidR="00F70E40" w:rsidRPr="00C608ED" w:rsidRDefault="00F70E40" w:rsidP="00A2006C">
            <w:pPr>
              <w:jc w:val="center"/>
              <w:rPr>
                <w:b/>
              </w:rPr>
            </w:pPr>
            <w:r>
              <w:rPr>
                <w:b/>
              </w:rPr>
              <w:t>2014</w:t>
            </w:r>
          </w:p>
        </w:tc>
        <w:tc>
          <w:tcPr>
            <w:tcW w:w="1003" w:type="dxa"/>
          </w:tcPr>
          <w:p w14:paraId="7061578F" w14:textId="77777777" w:rsidR="00F70E40" w:rsidRDefault="00F70E40" w:rsidP="00A2006C">
            <w:pPr>
              <w:jc w:val="center"/>
              <w:rPr>
                <w:b/>
              </w:rPr>
            </w:pPr>
          </w:p>
          <w:p w14:paraId="6307B0C7" w14:textId="6168F4C5" w:rsidR="00F70E40" w:rsidRDefault="00F70E40" w:rsidP="00A2006C">
            <w:pPr>
              <w:jc w:val="center"/>
              <w:rPr>
                <w:b/>
              </w:rPr>
            </w:pPr>
            <w:r>
              <w:rPr>
                <w:b/>
              </w:rPr>
              <w:t>Fall 2014</w:t>
            </w:r>
          </w:p>
        </w:tc>
        <w:tc>
          <w:tcPr>
            <w:tcW w:w="1003" w:type="dxa"/>
          </w:tcPr>
          <w:p w14:paraId="12831218" w14:textId="77777777" w:rsidR="00F70E40" w:rsidRDefault="00F70E40" w:rsidP="00A2006C">
            <w:pPr>
              <w:jc w:val="center"/>
              <w:rPr>
                <w:b/>
              </w:rPr>
            </w:pPr>
          </w:p>
          <w:p w14:paraId="12A841D5" w14:textId="4959E51B" w:rsidR="00F70E40" w:rsidRDefault="00F70E40" w:rsidP="00A2006C">
            <w:pPr>
              <w:jc w:val="center"/>
              <w:rPr>
                <w:b/>
              </w:rPr>
            </w:pPr>
            <w:r>
              <w:rPr>
                <w:b/>
              </w:rPr>
              <w:t>Spring 2015</w:t>
            </w:r>
          </w:p>
        </w:tc>
        <w:tc>
          <w:tcPr>
            <w:tcW w:w="1003" w:type="dxa"/>
          </w:tcPr>
          <w:p w14:paraId="12C6243B" w14:textId="77777777" w:rsidR="00F70E40" w:rsidRDefault="00F70E40" w:rsidP="00A2006C">
            <w:pPr>
              <w:jc w:val="center"/>
              <w:rPr>
                <w:b/>
              </w:rPr>
            </w:pPr>
          </w:p>
          <w:p w14:paraId="0CB00C5D" w14:textId="5668A7D3" w:rsidR="00F70E40" w:rsidRDefault="00F70E40" w:rsidP="00A2006C">
            <w:pPr>
              <w:jc w:val="center"/>
              <w:rPr>
                <w:b/>
              </w:rPr>
            </w:pPr>
            <w:r>
              <w:rPr>
                <w:b/>
              </w:rPr>
              <w:t>Fall 2015</w:t>
            </w:r>
          </w:p>
        </w:tc>
        <w:tc>
          <w:tcPr>
            <w:tcW w:w="1003" w:type="dxa"/>
          </w:tcPr>
          <w:p w14:paraId="07FB32EE" w14:textId="77777777" w:rsidR="00F70E40" w:rsidRDefault="00F70E40" w:rsidP="00A2006C">
            <w:pPr>
              <w:jc w:val="center"/>
              <w:rPr>
                <w:b/>
              </w:rPr>
            </w:pPr>
          </w:p>
          <w:p w14:paraId="444435AC" w14:textId="4ADD8FCE" w:rsidR="00F70E40" w:rsidRDefault="00F70E40" w:rsidP="00A2006C">
            <w:pPr>
              <w:jc w:val="center"/>
              <w:rPr>
                <w:b/>
              </w:rPr>
            </w:pPr>
            <w:r>
              <w:rPr>
                <w:b/>
              </w:rPr>
              <w:t>Spring 2016</w:t>
            </w:r>
          </w:p>
        </w:tc>
      </w:tr>
      <w:tr w:rsidR="00F70E40" w:rsidRPr="00C608ED" w14:paraId="61EE964C" w14:textId="07CBEF90" w:rsidTr="00F70E40">
        <w:trPr>
          <w:jc w:val="center"/>
        </w:trPr>
        <w:tc>
          <w:tcPr>
            <w:tcW w:w="1003" w:type="dxa"/>
            <w:shd w:val="clear" w:color="auto" w:fill="auto"/>
          </w:tcPr>
          <w:p w14:paraId="4DF1A10F" w14:textId="77777777" w:rsidR="00F70E40" w:rsidRPr="00C97C2E" w:rsidRDefault="00F70E40" w:rsidP="00A2006C">
            <w:pPr>
              <w:spacing w:line="276" w:lineRule="auto"/>
              <w:jc w:val="center"/>
            </w:pPr>
            <w:r>
              <w:t>1</w:t>
            </w:r>
            <w:r w:rsidRPr="00C608ED">
              <w:rPr>
                <w:vertAlign w:val="superscript"/>
              </w:rPr>
              <w:t>st</w:t>
            </w:r>
          </w:p>
        </w:tc>
        <w:tc>
          <w:tcPr>
            <w:tcW w:w="1003" w:type="dxa"/>
            <w:shd w:val="clear" w:color="auto" w:fill="auto"/>
          </w:tcPr>
          <w:p w14:paraId="0EA060EC" w14:textId="77777777" w:rsidR="00F70E40" w:rsidRPr="00C97C2E" w:rsidRDefault="00F70E40" w:rsidP="00A2006C">
            <w:pPr>
              <w:spacing w:line="276" w:lineRule="auto"/>
              <w:jc w:val="center"/>
            </w:pPr>
            <w:r>
              <w:t>93</w:t>
            </w:r>
          </w:p>
        </w:tc>
        <w:tc>
          <w:tcPr>
            <w:tcW w:w="1003" w:type="dxa"/>
            <w:shd w:val="clear" w:color="auto" w:fill="auto"/>
          </w:tcPr>
          <w:p w14:paraId="39B2ED04" w14:textId="77777777" w:rsidR="00F70E40" w:rsidRPr="00C97C2E" w:rsidRDefault="00F70E40" w:rsidP="00A2006C">
            <w:pPr>
              <w:spacing w:line="276" w:lineRule="auto"/>
              <w:jc w:val="center"/>
            </w:pPr>
            <w:r>
              <w:t>94</w:t>
            </w:r>
          </w:p>
        </w:tc>
        <w:tc>
          <w:tcPr>
            <w:tcW w:w="1003" w:type="dxa"/>
          </w:tcPr>
          <w:p w14:paraId="203B7D89" w14:textId="77777777" w:rsidR="00F70E40" w:rsidRDefault="00F70E40" w:rsidP="00A2006C">
            <w:pPr>
              <w:spacing w:line="276" w:lineRule="auto"/>
              <w:jc w:val="center"/>
            </w:pPr>
            <w:r>
              <w:t>92</w:t>
            </w:r>
          </w:p>
        </w:tc>
        <w:tc>
          <w:tcPr>
            <w:tcW w:w="1003" w:type="dxa"/>
          </w:tcPr>
          <w:p w14:paraId="254BA466" w14:textId="77777777" w:rsidR="00F70E40" w:rsidRDefault="00F70E40" w:rsidP="00A2006C">
            <w:pPr>
              <w:spacing w:line="276" w:lineRule="auto"/>
              <w:jc w:val="center"/>
            </w:pPr>
            <w:r>
              <w:t>86</w:t>
            </w:r>
          </w:p>
        </w:tc>
        <w:tc>
          <w:tcPr>
            <w:tcW w:w="1003" w:type="dxa"/>
          </w:tcPr>
          <w:p w14:paraId="10DF2A51" w14:textId="31AB8DB3" w:rsidR="00F70E40" w:rsidRDefault="00F70E40" w:rsidP="00A2006C">
            <w:pPr>
              <w:spacing w:line="276" w:lineRule="auto"/>
              <w:jc w:val="center"/>
            </w:pPr>
            <w:r>
              <w:t>98</w:t>
            </w:r>
          </w:p>
        </w:tc>
        <w:tc>
          <w:tcPr>
            <w:tcW w:w="1003" w:type="dxa"/>
          </w:tcPr>
          <w:p w14:paraId="7A0E2E46" w14:textId="79DB43CF" w:rsidR="00F70E40" w:rsidRDefault="00F70E40" w:rsidP="00A2006C">
            <w:pPr>
              <w:spacing w:line="276" w:lineRule="auto"/>
              <w:jc w:val="center"/>
            </w:pPr>
            <w:r>
              <w:t>94</w:t>
            </w:r>
          </w:p>
        </w:tc>
        <w:tc>
          <w:tcPr>
            <w:tcW w:w="1003" w:type="dxa"/>
          </w:tcPr>
          <w:p w14:paraId="4DF3FD84" w14:textId="707C04A8" w:rsidR="00F70E40" w:rsidRDefault="00F70E40" w:rsidP="00A2006C">
            <w:pPr>
              <w:spacing w:line="276" w:lineRule="auto"/>
              <w:jc w:val="center"/>
            </w:pPr>
            <w:r>
              <w:t>86</w:t>
            </w:r>
          </w:p>
        </w:tc>
        <w:tc>
          <w:tcPr>
            <w:tcW w:w="1003" w:type="dxa"/>
          </w:tcPr>
          <w:p w14:paraId="35B22641" w14:textId="30E2A648" w:rsidR="00F70E40" w:rsidRDefault="00F70E40" w:rsidP="00A2006C">
            <w:pPr>
              <w:spacing w:line="276" w:lineRule="auto"/>
              <w:jc w:val="center"/>
            </w:pPr>
            <w:r>
              <w:t>91</w:t>
            </w:r>
          </w:p>
        </w:tc>
      </w:tr>
      <w:tr w:rsidR="00F70E40" w:rsidRPr="00C608ED" w14:paraId="4DDF7017" w14:textId="0E725545" w:rsidTr="00F70E40">
        <w:trPr>
          <w:jc w:val="center"/>
        </w:trPr>
        <w:tc>
          <w:tcPr>
            <w:tcW w:w="1003" w:type="dxa"/>
            <w:shd w:val="clear" w:color="auto" w:fill="auto"/>
          </w:tcPr>
          <w:p w14:paraId="1908D91F" w14:textId="77777777" w:rsidR="00F70E40" w:rsidRPr="00C97C2E" w:rsidRDefault="00F70E40" w:rsidP="00A2006C">
            <w:pPr>
              <w:spacing w:line="276" w:lineRule="auto"/>
              <w:jc w:val="center"/>
            </w:pPr>
            <w:r>
              <w:t>2</w:t>
            </w:r>
            <w:r w:rsidRPr="00C608ED">
              <w:rPr>
                <w:vertAlign w:val="superscript"/>
              </w:rPr>
              <w:t>nd</w:t>
            </w:r>
          </w:p>
        </w:tc>
        <w:tc>
          <w:tcPr>
            <w:tcW w:w="1003" w:type="dxa"/>
            <w:shd w:val="clear" w:color="auto" w:fill="auto"/>
          </w:tcPr>
          <w:p w14:paraId="0D73716C" w14:textId="77777777" w:rsidR="00F70E40" w:rsidRPr="00C97C2E" w:rsidRDefault="00F70E40" w:rsidP="00A2006C">
            <w:pPr>
              <w:spacing w:line="276" w:lineRule="auto"/>
              <w:jc w:val="center"/>
            </w:pPr>
            <w:r>
              <w:t>95</w:t>
            </w:r>
          </w:p>
        </w:tc>
        <w:tc>
          <w:tcPr>
            <w:tcW w:w="1003" w:type="dxa"/>
            <w:shd w:val="clear" w:color="auto" w:fill="auto"/>
          </w:tcPr>
          <w:p w14:paraId="20D303A5" w14:textId="77777777" w:rsidR="00F70E40" w:rsidRPr="00C97C2E" w:rsidRDefault="00F70E40" w:rsidP="00A2006C">
            <w:pPr>
              <w:spacing w:line="276" w:lineRule="auto"/>
              <w:jc w:val="center"/>
            </w:pPr>
            <w:r>
              <w:t>92</w:t>
            </w:r>
          </w:p>
        </w:tc>
        <w:tc>
          <w:tcPr>
            <w:tcW w:w="1003" w:type="dxa"/>
          </w:tcPr>
          <w:p w14:paraId="5A3F8863" w14:textId="77777777" w:rsidR="00F70E40" w:rsidRDefault="00F70E40" w:rsidP="00A2006C">
            <w:pPr>
              <w:spacing w:line="276" w:lineRule="auto"/>
              <w:jc w:val="center"/>
            </w:pPr>
            <w:r>
              <w:t>96</w:t>
            </w:r>
          </w:p>
        </w:tc>
        <w:tc>
          <w:tcPr>
            <w:tcW w:w="1003" w:type="dxa"/>
          </w:tcPr>
          <w:p w14:paraId="526027B0" w14:textId="77777777" w:rsidR="00F70E40" w:rsidRDefault="00F70E40" w:rsidP="00A2006C">
            <w:pPr>
              <w:spacing w:line="276" w:lineRule="auto"/>
              <w:jc w:val="center"/>
            </w:pPr>
            <w:r>
              <w:t>91</w:t>
            </w:r>
          </w:p>
        </w:tc>
        <w:tc>
          <w:tcPr>
            <w:tcW w:w="1003" w:type="dxa"/>
          </w:tcPr>
          <w:p w14:paraId="785BBCCC" w14:textId="1D67CB92" w:rsidR="00F70E40" w:rsidRDefault="00F70E40" w:rsidP="00A2006C">
            <w:pPr>
              <w:spacing w:line="276" w:lineRule="auto"/>
              <w:jc w:val="center"/>
            </w:pPr>
            <w:r>
              <w:t>96</w:t>
            </w:r>
          </w:p>
        </w:tc>
        <w:tc>
          <w:tcPr>
            <w:tcW w:w="1003" w:type="dxa"/>
          </w:tcPr>
          <w:p w14:paraId="0F0B9753" w14:textId="6BC547F2" w:rsidR="00F70E40" w:rsidRDefault="00F70E40" w:rsidP="00A2006C">
            <w:pPr>
              <w:spacing w:line="276" w:lineRule="auto"/>
              <w:jc w:val="center"/>
            </w:pPr>
            <w:r>
              <w:t>81</w:t>
            </w:r>
          </w:p>
        </w:tc>
        <w:tc>
          <w:tcPr>
            <w:tcW w:w="1003" w:type="dxa"/>
          </w:tcPr>
          <w:p w14:paraId="683AB46C" w14:textId="60CB9338" w:rsidR="00F70E40" w:rsidRDefault="00F70E40" w:rsidP="00A2006C">
            <w:pPr>
              <w:spacing w:line="276" w:lineRule="auto"/>
              <w:jc w:val="center"/>
            </w:pPr>
            <w:r>
              <w:t>95</w:t>
            </w:r>
          </w:p>
        </w:tc>
        <w:tc>
          <w:tcPr>
            <w:tcW w:w="1003" w:type="dxa"/>
          </w:tcPr>
          <w:p w14:paraId="533E00BF" w14:textId="0211E6D6" w:rsidR="00F70E40" w:rsidRDefault="00F70E40" w:rsidP="00A2006C">
            <w:pPr>
              <w:spacing w:line="276" w:lineRule="auto"/>
              <w:jc w:val="center"/>
            </w:pPr>
            <w:r>
              <w:t>87</w:t>
            </w:r>
          </w:p>
        </w:tc>
      </w:tr>
      <w:tr w:rsidR="00F70E40" w:rsidRPr="00C608ED" w14:paraId="105E0563" w14:textId="0CAF8092" w:rsidTr="00F70E40">
        <w:trPr>
          <w:jc w:val="center"/>
        </w:trPr>
        <w:tc>
          <w:tcPr>
            <w:tcW w:w="1003" w:type="dxa"/>
            <w:shd w:val="clear" w:color="auto" w:fill="auto"/>
          </w:tcPr>
          <w:p w14:paraId="0FDC0471" w14:textId="77777777" w:rsidR="00F70E40" w:rsidRPr="00C97C2E" w:rsidRDefault="00F70E40" w:rsidP="00A2006C">
            <w:pPr>
              <w:spacing w:line="276" w:lineRule="auto"/>
              <w:jc w:val="center"/>
            </w:pPr>
            <w:r>
              <w:t>3</w:t>
            </w:r>
            <w:r w:rsidRPr="00C608ED">
              <w:rPr>
                <w:vertAlign w:val="superscript"/>
              </w:rPr>
              <w:t>rd</w:t>
            </w:r>
          </w:p>
        </w:tc>
        <w:tc>
          <w:tcPr>
            <w:tcW w:w="1003" w:type="dxa"/>
            <w:shd w:val="clear" w:color="auto" w:fill="auto"/>
          </w:tcPr>
          <w:p w14:paraId="5125E700" w14:textId="77777777" w:rsidR="00F70E40" w:rsidRPr="00C97C2E" w:rsidRDefault="00F70E40" w:rsidP="00A2006C">
            <w:pPr>
              <w:spacing w:line="276" w:lineRule="auto"/>
              <w:jc w:val="center"/>
            </w:pPr>
            <w:r>
              <w:t>94</w:t>
            </w:r>
          </w:p>
        </w:tc>
        <w:tc>
          <w:tcPr>
            <w:tcW w:w="1003" w:type="dxa"/>
            <w:shd w:val="clear" w:color="auto" w:fill="auto"/>
          </w:tcPr>
          <w:p w14:paraId="361BDA1F" w14:textId="77777777" w:rsidR="00F70E40" w:rsidRPr="00C97C2E" w:rsidRDefault="00F70E40" w:rsidP="00A2006C">
            <w:pPr>
              <w:spacing w:line="276" w:lineRule="auto"/>
              <w:jc w:val="center"/>
            </w:pPr>
            <w:r>
              <w:t>80</w:t>
            </w:r>
          </w:p>
        </w:tc>
        <w:tc>
          <w:tcPr>
            <w:tcW w:w="1003" w:type="dxa"/>
          </w:tcPr>
          <w:p w14:paraId="658B990C" w14:textId="77777777" w:rsidR="00F70E40" w:rsidRDefault="00F70E40" w:rsidP="00A2006C">
            <w:pPr>
              <w:spacing w:line="276" w:lineRule="auto"/>
              <w:jc w:val="center"/>
            </w:pPr>
            <w:r>
              <w:t>92</w:t>
            </w:r>
          </w:p>
        </w:tc>
        <w:tc>
          <w:tcPr>
            <w:tcW w:w="1003" w:type="dxa"/>
          </w:tcPr>
          <w:p w14:paraId="377B4DA2" w14:textId="77777777" w:rsidR="00F70E40" w:rsidRDefault="00F70E40" w:rsidP="00A2006C">
            <w:pPr>
              <w:spacing w:line="276" w:lineRule="auto"/>
              <w:jc w:val="center"/>
            </w:pPr>
            <w:r>
              <w:t>83</w:t>
            </w:r>
          </w:p>
        </w:tc>
        <w:tc>
          <w:tcPr>
            <w:tcW w:w="1003" w:type="dxa"/>
          </w:tcPr>
          <w:p w14:paraId="6D26CEEE" w14:textId="31F954B7" w:rsidR="00F70E40" w:rsidRDefault="00F70E40" w:rsidP="00A2006C">
            <w:pPr>
              <w:spacing w:line="276" w:lineRule="auto"/>
              <w:jc w:val="center"/>
            </w:pPr>
            <w:r>
              <w:t>90</w:t>
            </w:r>
          </w:p>
        </w:tc>
        <w:tc>
          <w:tcPr>
            <w:tcW w:w="1003" w:type="dxa"/>
          </w:tcPr>
          <w:p w14:paraId="37BF44A2" w14:textId="0A65F08D" w:rsidR="00F70E40" w:rsidRDefault="00F70E40" w:rsidP="00A2006C">
            <w:pPr>
              <w:spacing w:line="276" w:lineRule="auto"/>
              <w:jc w:val="center"/>
            </w:pPr>
            <w:r>
              <w:t>85</w:t>
            </w:r>
          </w:p>
        </w:tc>
        <w:tc>
          <w:tcPr>
            <w:tcW w:w="1003" w:type="dxa"/>
          </w:tcPr>
          <w:p w14:paraId="41DB2ACD" w14:textId="7CDBC4A6" w:rsidR="00F70E40" w:rsidRDefault="00F70E40" w:rsidP="00A2006C">
            <w:pPr>
              <w:spacing w:line="276" w:lineRule="auto"/>
              <w:jc w:val="center"/>
            </w:pPr>
            <w:r>
              <w:t>86</w:t>
            </w:r>
          </w:p>
        </w:tc>
        <w:tc>
          <w:tcPr>
            <w:tcW w:w="1003" w:type="dxa"/>
          </w:tcPr>
          <w:p w14:paraId="43E42B11" w14:textId="03D14895" w:rsidR="00F70E40" w:rsidRDefault="00F70E40" w:rsidP="00A2006C">
            <w:pPr>
              <w:spacing w:line="276" w:lineRule="auto"/>
              <w:jc w:val="center"/>
            </w:pPr>
            <w:r>
              <w:t>84</w:t>
            </w:r>
          </w:p>
        </w:tc>
      </w:tr>
      <w:tr w:rsidR="00F70E40" w:rsidRPr="00C608ED" w14:paraId="2BD98196" w14:textId="235516B3" w:rsidTr="00F70E40">
        <w:trPr>
          <w:jc w:val="center"/>
        </w:trPr>
        <w:tc>
          <w:tcPr>
            <w:tcW w:w="1003" w:type="dxa"/>
            <w:shd w:val="clear" w:color="auto" w:fill="auto"/>
          </w:tcPr>
          <w:p w14:paraId="02017006" w14:textId="77777777" w:rsidR="00F70E40" w:rsidRPr="00C97C2E" w:rsidRDefault="00F70E40" w:rsidP="00A2006C">
            <w:pPr>
              <w:spacing w:line="276" w:lineRule="auto"/>
              <w:jc w:val="center"/>
            </w:pPr>
            <w:r>
              <w:t>4</w:t>
            </w:r>
            <w:r w:rsidRPr="00C608ED">
              <w:rPr>
                <w:vertAlign w:val="superscript"/>
              </w:rPr>
              <w:t>th</w:t>
            </w:r>
          </w:p>
        </w:tc>
        <w:tc>
          <w:tcPr>
            <w:tcW w:w="1003" w:type="dxa"/>
            <w:shd w:val="clear" w:color="auto" w:fill="auto"/>
          </w:tcPr>
          <w:p w14:paraId="04897BF8" w14:textId="77777777" w:rsidR="00F70E40" w:rsidRPr="00C97C2E" w:rsidRDefault="00F70E40" w:rsidP="00A2006C">
            <w:pPr>
              <w:spacing w:line="276" w:lineRule="auto"/>
              <w:jc w:val="center"/>
            </w:pPr>
            <w:r>
              <w:t>95</w:t>
            </w:r>
          </w:p>
        </w:tc>
        <w:tc>
          <w:tcPr>
            <w:tcW w:w="1003" w:type="dxa"/>
            <w:shd w:val="clear" w:color="auto" w:fill="auto"/>
          </w:tcPr>
          <w:p w14:paraId="29659B08" w14:textId="77777777" w:rsidR="00F70E40" w:rsidRPr="00C97C2E" w:rsidRDefault="00F70E40" w:rsidP="00A2006C">
            <w:pPr>
              <w:spacing w:line="276" w:lineRule="auto"/>
              <w:jc w:val="center"/>
            </w:pPr>
            <w:r>
              <w:t>92</w:t>
            </w:r>
          </w:p>
        </w:tc>
        <w:tc>
          <w:tcPr>
            <w:tcW w:w="1003" w:type="dxa"/>
          </w:tcPr>
          <w:p w14:paraId="39F955C0" w14:textId="77777777" w:rsidR="00F70E40" w:rsidRDefault="00F70E40" w:rsidP="00A2006C">
            <w:pPr>
              <w:spacing w:line="276" w:lineRule="auto"/>
              <w:jc w:val="center"/>
            </w:pPr>
            <w:r>
              <w:t>93</w:t>
            </w:r>
          </w:p>
        </w:tc>
        <w:tc>
          <w:tcPr>
            <w:tcW w:w="1003" w:type="dxa"/>
          </w:tcPr>
          <w:p w14:paraId="2D5B8A68" w14:textId="77777777" w:rsidR="00F70E40" w:rsidRDefault="00F70E40" w:rsidP="00A2006C">
            <w:pPr>
              <w:spacing w:line="276" w:lineRule="auto"/>
              <w:jc w:val="center"/>
            </w:pPr>
            <w:r>
              <w:t>83</w:t>
            </w:r>
          </w:p>
        </w:tc>
        <w:tc>
          <w:tcPr>
            <w:tcW w:w="1003" w:type="dxa"/>
          </w:tcPr>
          <w:p w14:paraId="3FE0140A" w14:textId="4533BE8E" w:rsidR="00F70E40" w:rsidRDefault="00F70E40" w:rsidP="00A2006C">
            <w:pPr>
              <w:spacing w:line="276" w:lineRule="auto"/>
              <w:jc w:val="center"/>
            </w:pPr>
            <w:r>
              <w:t>93</w:t>
            </w:r>
          </w:p>
        </w:tc>
        <w:tc>
          <w:tcPr>
            <w:tcW w:w="1003" w:type="dxa"/>
          </w:tcPr>
          <w:p w14:paraId="2F6E4B5D" w14:textId="03C9F86A" w:rsidR="00F70E40" w:rsidRDefault="00F70E40" w:rsidP="00A2006C">
            <w:pPr>
              <w:spacing w:line="276" w:lineRule="auto"/>
              <w:jc w:val="center"/>
            </w:pPr>
            <w:r>
              <w:t>89</w:t>
            </w:r>
          </w:p>
        </w:tc>
        <w:tc>
          <w:tcPr>
            <w:tcW w:w="1003" w:type="dxa"/>
          </w:tcPr>
          <w:p w14:paraId="49B4BDFC" w14:textId="1614176F" w:rsidR="00F70E40" w:rsidRDefault="00F70E40" w:rsidP="00A2006C">
            <w:pPr>
              <w:spacing w:line="276" w:lineRule="auto"/>
              <w:jc w:val="center"/>
            </w:pPr>
            <w:r>
              <w:t>92</w:t>
            </w:r>
          </w:p>
        </w:tc>
        <w:tc>
          <w:tcPr>
            <w:tcW w:w="1003" w:type="dxa"/>
          </w:tcPr>
          <w:p w14:paraId="12549D9B" w14:textId="0EDA2F63" w:rsidR="00F70E40" w:rsidRDefault="00F70E40" w:rsidP="00A2006C">
            <w:pPr>
              <w:spacing w:line="276" w:lineRule="auto"/>
              <w:jc w:val="center"/>
            </w:pPr>
            <w:r>
              <w:t>92</w:t>
            </w:r>
          </w:p>
        </w:tc>
      </w:tr>
      <w:tr w:rsidR="00F70E40" w:rsidRPr="00C608ED" w14:paraId="2EBF0B0C" w14:textId="532F0F36" w:rsidTr="00F70E40">
        <w:trPr>
          <w:jc w:val="center"/>
        </w:trPr>
        <w:tc>
          <w:tcPr>
            <w:tcW w:w="1003" w:type="dxa"/>
            <w:shd w:val="clear" w:color="auto" w:fill="auto"/>
          </w:tcPr>
          <w:p w14:paraId="524D2E1C" w14:textId="77777777" w:rsidR="00F70E40" w:rsidRPr="00C97C2E" w:rsidRDefault="00F70E40" w:rsidP="00A2006C">
            <w:pPr>
              <w:spacing w:line="276" w:lineRule="auto"/>
              <w:jc w:val="center"/>
            </w:pPr>
            <w:r>
              <w:t>5</w:t>
            </w:r>
            <w:r w:rsidRPr="00C608ED">
              <w:rPr>
                <w:vertAlign w:val="superscript"/>
              </w:rPr>
              <w:t>th</w:t>
            </w:r>
          </w:p>
        </w:tc>
        <w:tc>
          <w:tcPr>
            <w:tcW w:w="1003" w:type="dxa"/>
            <w:shd w:val="clear" w:color="auto" w:fill="auto"/>
          </w:tcPr>
          <w:p w14:paraId="0F32A381" w14:textId="77777777" w:rsidR="00F70E40" w:rsidRPr="00C97C2E" w:rsidRDefault="00F70E40" w:rsidP="00A2006C">
            <w:pPr>
              <w:spacing w:line="276" w:lineRule="auto"/>
              <w:jc w:val="center"/>
            </w:pPr>
            <w:r>
              <w:t>95</w:t>
            </w:r>
          </w:p>
        </w:tc>
        <w:tc>
          <w:tcPr>
            <w:tcW w:w="1003" w:type="dxa"/>
            <w:shd w:val="clear" w:color="auto" w:fill="auto"/>
          </w:tcPr>
          <w:p w14:paraId="24B74350" w14:textId="77777777" w:rsidR="00F70E40" w:rsidRPr="00C97C2E" w:rsidRDefault="00F70E40" w:rsidP="00A2006C">
            <w:pPr>
              <w:spacing w:line="276" w:lineRule="auto"/>
              <w:jc w:val="center"/>
            </w:pPr>
            <w:r>
              <w:t>85</w:t>
            </w:r>
          </w:p>
        </w:tc>
        <w:tc>
          <w:tcPr>
            <w:tcW w:w="1003" w:type="dxa"/>
          </w:tcPr>
          <w:p w14:paraId="259E176D" w14:textId="77777777" w:rsidR="00F70E40" w:rsidRDefault="00F70E40" w:rsidP="00A2006C">
            <w:pPr>
              <w:spacing w:line="276" w:lineRule="auto"/>
              <w:jc w:val="center"/>
            </w:pPr>
            <w:r>
              <w:t>93</w:t>
            </w:r>
          </w:p>
        </w:tc>
        <w:tc>
          <w:tcPr>
            <w:tcW w:w="1003" w:type="dxa"/>
          </w:tcPr>
          <w:p w14:paraId="3CF56F63" w14:textId="77777777" w:rsidR="00F70E40" w:rsidRDefault="00F70E40" w:rsidP="00A2006C">
            <w:pPr>
              <w:spacing w:line="276" w:lineRule="auto"/>
              <w:jc w:val="center"/>
            </w:pPr>
            <w:r>
              <w:t>80</w:t>
            </w:r>
          </w:p>
        </w:tc>
        <w:tc>
          <w:tcPr>
            <w:tcW w:w="1003" w:type="dxa"/>
          </w:tcPr>
          <w:p w14:paraId="13BD4B6E" w14:textId="6D2231C3" w:rsidR="00F70E40" w:rsidRDefault="00F70E40" w:rsidP="00A2006C">
            <w:pPr>
              <w:spacing w:line="276" w:lineRule="auto"/>
              <w:jc w:val="center"/>
            </w:pPr>
            <w:r>
              <w:t>92</w:t>
            </w:r>
          </w:p>
        </w:tc>
        <w:tc>
          <w:tcPr>
            <w:tcW w:w="1003" w:type="dxa"/>
          </w:tcPr>
          <w:p w14:paraId="0C5D62EE" w14:textId="764BADE8" w:rsidR="00F70E40" w:rsidRDefault="00F70E40" w:rsidP="00A2006C">
            <w:pPr>
              <w:spacing w:line="276" w:lineRule="auto"/>
              <w:jc w:val="center"/>
            </w:pPr>
            <w:r>
              <w:t>75</w:t>
            </w:r>
          </w:p>
        </w:tc>
        <w:tc>
          <w:tcPr>
            <w:tcW w:w="1003" w:type="dxa"/>
          </w:tcPr>
          <w:p w14:paraId="53299F85" w14:textId="1BD3AC02" w:rsidR="00F70E40" w:rsidRDefault="00F70E40" w:rsidP="00A2006C">
            <w:pPr>
              <w:spacing w:line="276" w:lineRule="auto"/>
              <w:jc w:val="center"/>
            </w:pPr>
            <w:r>
              <w:t>88</w:t>
            </w:r>
          </w:p>
        </w:tc>
        <w:tc>
          <w:tcPr>
            <w:tcW w:w="1003" w:type="dxa"/>
          </w:tcPr>
          <w:p w14:paraId="4F676488" w14:textId="6358965C" w:rsidR="00F70E40" w:rsidRDefault="00F70E40" w:rsidP="00A2006C">
            <w:pPr>
              <w:spacing w:line="276" w:lineRule="auto"/>
              <w:jc w:val="center"/>
            </w:pPr>
            <w:r>
              <w:t>85</w:t>
            </w:r>
          </w:p>
        </w:tc>
      </w:tr>
      <w:tr w:rsidR="00F70E40" w:rsidRPr="00C608ED" w14:paraId="565B50D1" w14:textId="4C888E0C" w:rsidTr="00F70E40">
        <w:trPr>
          <w:jc w:val="center"/>
        </w:trPr>
        <w:tc>
          <w:tcPr>
            <w:tcW w:w="1003" w:type="dxa"/>
            <w:shd w:val="clear" w:color="auto" w:fill="auto"/>
          </w:tcPr>
          <w:p w14:paraId="72179C47" w14:textId="77777777" w:rsidR="00F70E40" w:rsidRPr="00C97C2E" w:rsidRDefault="00F70E40" w:rsidP="00A2006C">
            <w:pPr>
              <w:spacing w:line="276" w:lineRule="auto"/>
              <w:jc w:val="center"/>
            </w:pPr>
            <w:r>
              <w:t>6</w:t>
            </w:r>
            <w:r w:rsidRPr="00C608ED">
              <w:rPr>
                <w:vertAlign w:val="superscript"/>
              </w:rPr>
              <w:t>th</w:t>
            </w:r>
          </w:p>
        </w:tc>
        <w:tc>
          <w:tcPr>
            <w:tcW w:w="1003" w:type="dxa"/>
            <w:shd w:val="clear" w:color="auto" w:fill="auto"/>
          </w:tcPr>
          <w:p w14:paraId="71FE8F8E" w14:textId="77777777" w:rsidR="00F70E40" w:rsidRPr="00C97C2E" w:rsidRDefault="00F70E40" w:rsidP="00A2006C">
            <w:pPr>
              <w:spacing w:line="276" w:lineRule="auto"/>
              <w:jc w:val="center"/>
            </w:pPr>
            <w:r>
              <w:t>91</w:t>
            </w:r>
          </w:p>
        </w:tc>
        <w:tc>
          <w:tcPr>
            <w:tcW w:w="1003" w:type="dxa"/>
            <w:shd w:val="clear" w:color="auto" w:fill="auto"/>
          </w:tcPr>
          <w:p w14:paraId="4DD61F37" w14:textId="77777777" w:rsidR="00F70E40" w:rsidRPr="00C97C2E" w:rsidRDefault="00F70E40" w:rsidP="00A2006C">
            <w:pPr>
              <w:spacing w:line="276" w:lineRule="auto"/>
              <w:jc w:val="center"/>
            </w:pPr>
            <w:r>
              <w:t>73</w:t>
            </w:r>
          </w:p>
        </w:tc>
        <w:tc>
          <w:tcPr>
            <w:tcW w:w="1003" w:type="dxa"/>
          </w:tcPr>
          <w:p w14:paraId="2A7858B9" w14:textId="77777777" w:rsidR="00F70E40" w:rsidRDefault="00F70E40" w:rsidP="00A2006C">
            <w:pPr>
              <w:spacing w:line="276" w:lineRule="auto"/>
              <w:jc w:val="center"/>
            </w:pPr>
            <w:r>
              <w:t>93</w:t>
            </w:r>
          </w:p>
        </w:tc>
        <w:tc>
          <w:tcPr>
            <w:tcW w:w="1003" w:type="dxa"/>
          </w:tcPr>
          <w:p w14:paraId="65F07F94" w14:textId="77777777" w:rsidR="00F70E40" w:rsidRDefault="00F70E40" w:rsidP="00A2006C">
            <w:pPr>
              <w:spacing w:line="276" w:lineRule="auto"/>
              <w:jc w:val="center"/>
            </w:pPr>
            <w:r>
              <w:t>78</w:t>
            </w:r>
          </w:p>
        </w:tc>
        <w:tc>
          <w:tcPr>
            <w:tcW w:w="1003" w:type="dxa"/>
          </w:tcPr>
          <w:p w14:paraId="02B881EF" w14:textId="53DC006C" w:rsidR="00F70E40" w:rsidRDefault="00F70E40" w:rsidP="00A2006C">
            <w:pPr>
              <w:spacing w:line="276" w:lineRule="auto"/>
              <w:jc w:val="center"/>
            </w:pPr>
            <w:r>
              <w:t>86</w:t>
            </w:r>
          </w:p>
        </w:tc>
        <w:tc>
          <w:tcPr>
            <w:tcW w:w="1003" w:type="dxa"/>
          </w:tcPr>
          <w:p w14:paraId="716FBF00" w14:textId="505B8E59" w:rsidR="00F70E40" w:rsidRDefault="00F70E40" w:rsidP="00A2006C">
            <w:pPr>
              <w:spacing w:line="276" w:lineRule="auto"/>
              <w:jc w:val="center"/>
            </w:pPr>
            <w:r>
              <w:t>77</w:t>
            </w:r>
          </w:p>
        </w:tc>
        <w:tc>
          <w:tcPr>
            <w:tcW w:w="1003" w:type="dxa"/>
          </w:tcPr>
          <w:p w14:paraId="7E4B8634" w14:textId="227A826C" w:rsidR="00F70E40" w:rsidRDefault="00F70E40" w:rsidP="00A2006C">
            <w:pPr>
              <w:spacing w:line="276" w:lineRule="auto"/>
              <w:jc w:val="center"/>
            </w:pPr>
            <w:r>
              <w:t>92</w:t>
            </w:r>
          </w:p>
        </w:tc>
        <w:tc>
          <w:tcPr>
            <w:tcW w:w="1003" w:type="dxa"/>
          </w:tcPr>
          <w:p w14:paraId="2DBE37A1" w14:textId="588D3B39" w:rsidR="00F70E40" w:rsidRDefault="00F70E40" w:rsidP="00A2006C">
            <w:pPr>
              <w:spacing w:line="276" w:lineRule="auto"/>
              <w:jc w:val="center"/>
            </w:pPr>
            <w:r>
              <w:t>71</w:t>
            </w:r>
          </w:p>
        </w:tc>
      </w:tr>
      <w:tr w:rsidR="00F70E40" w:rsidRPr="00C608ED" w14:paraId="63A573C6" w14:textId="7568EA16" w:rsidTr="00F70E40">
        <w:trPr>
          <w:jc w:val="center"/>
        </w:trPr>
        <w:tc>
          <w:tcPr>
            <w:tcW w:w="1003" w:type="dxa"/>
            <w:shd w:val="clear" w:color="auto" w:fill="auto"/>
          </w:tcPr>
          <w:p w14:paraId="6D71B624" w14:textId="77777777" w:rsidR="00F70E40" w:rsidRDefault="00F70E40" w:rsidP="00A2006C">
            <w:pPr>
              <w:spacing w:line="276" w:lineRule="auto"/>
              <w:jc w:val="center"/>
            </w:pPr>
          </w:p>
          <w:p w14:paraId="08384C07" w14:textId="77777777" w:rsidR="00F70E40" w:rsidRPr="00C97C2E" w:rsidRDefault="00F70E40" w:rsidP="00A2006C">
            <w:pPr>
              <w:spacing w:line="276" w:lineRule="auto"/>
              <w:jc w:val="center"/>
            </w:pPr>
            <w:r>
              <w:t>TOTAL</w:t>
            </w:r>
          </w:p>
        </w:tc>
        <w:tc>
          <w:tcPr>
            <w:tcW w:w="1003" w:type="dxa"/>
            <w:shd w:val="clear" w:color="auto" w:fill="auto"/>
          </w:tcPr>
          <w:p w14:paraId="78F5B6D9" w14:textId="77777777" w:rsidR="00F70E40" w:rsidRDefault="00F70E40" w:rsidP="00A2006C">
            <w:pPr>
              <w:spacing w:line="276" w:lineRule="auto"/>
              <w:jc w:val="center"/>
            </w:pPr>
            <w:r>
              <w:t>566/607</w:t>
            </w:r>
          </w:p>
          <w:p w14:paraId="0574A669" w14:textId="77777777" w:rsidR="00F70E40" w:rsidRPr="00C97C2E" w:rsidRDefault="00F70E40" w:rsidP="00A2006C">
            <w:pPr>
              <w:spacing w:line="276" w:lineRule="auto"/>
              <w:jc w:val="center"/>
            </w:pPr>
            <w:r>
              <w:t>93%</w:t>
            </w:r>
          </w:p>
        </w:tc>
        <w:tc>
          <w:tcPr>
            <w:tcW w:w="1003" w:type="dxa"/>
            <w:shd w:val="clear" w:color="auto" w:fill="auto"/>
          </w:tcPr>
          <w:p w14:paraId="6720BC1F" w14:textId="77777777" w:rsidR="00F70E40" w:rsidRDefault="00F70E40" w:rsidP="00A2006C">
            <w:pPr>
              <w:spacing w:line="276" w:lineRule="auto"/>
              <w:jc w:val="center"/>
            </w:pPr>
            <w:r>
              <w:t>512/603</w:t>
            </w:r>
          </w:p>
          <w:p w14:paraId="6DDDD105" w14:textId="77777777" w:rsidR="00F70E40" w:rsidRPr="00C97C2E" w:rsidRDefault="00F70E40" w:rsidP="00A2006C">
            <w:pPr>
              <w:spacing w:line="276" w:lineRule="auto"/>
              <w:jc w:val="center"/>
            </w:pPr>
            <w:r>
              <w:t>85%</w:t>
            </w:r>
          </w:p>
        </w:tc>
        <w:tc>
          <w:tcPr>
            <w:tcW w:w="1003" w:type="dxa"/>
          </w:tcPr>
          <w:p w14:paraId="71A88BE6" w14:textId="77777777" w:rsidR="00F70E40" w:rsidRDefault="00F70E40" w:rsidP="00A2006C">
            <w:pPr>
              <w:spacing w:line="276" w:lineRule="auto"/>
              <w:jc w:val="center"/>
            </w:pPr>
            <w:r>
              <w:t>531/569</w:t>
            </w:r>
          </w:p>
          <w:p w14:paraId="6A0BE3B9" w14:textId="77777777" w:rsidR="00F70E40" w:rsidRDefault="00F70E40" w:rsidP="00A2006C">
            <w:pPr>
              <w:spacing w:line="276" w:lineRule="auto"/>
              <w:jc w:val="center"/>
            </w:pPr>
            <w:r>
              <w:t>94%</w:t>
            </w:r>
          </w:p>
        </w:tc>
        <w:tc>
          <w:tcPr>
            <w:tcW w:w="1003" w:type="dxa"/>
          </w:tcPr>
          <w:p w14:paraId="652C2312" w14:textId="77777777" w:rsidR="00F70E40" w:rsidRDefault="00F70E40" w:rsidP="00A2006C">
            <w:pPr>
              <w:spacing w:line="276" w:lineRule="auto"/>
              <w:jc w:val="center"/>
            </w:pPr>
            <w:r>
              <w:t>486/590</w:t>
            </w:r>
          </w:p>
          <w:p w14:paraId="694A54D6" w14:textId="77777777" w:rsidR="00F70E40" w:rsidRDefault="00F70E40" w:rsidP="00A2006C">
            <w:pPr>
              <w:spacing w:line="276" w:lineRule="auto"/>
              <w:jc w:val="center"/>
            </w:pPr>
            <w:r>
              <w:t>82%</w:t>
            </w:r>
          </w:p>
        </w:tc>
        <w:tc>
          <w:tcPr>
            <w:tcW w:w="1003" w:type="dxa"/>
          </w:tcPr>
          <w:p w14:paraId="089F64B7" w14:textId="77777777" w:rsidR="00F70E40" w:rsidRDefault="00F70E40" w:rsidP="00A2006C">
            <w:pPr>
              <w:spacing w:line="276" w:lineRule="auto"/>
              <w:jc w:val="center"/>
            </w:pPr>
            <w:r>
              <w:t>534/582</w:t>
            </w:r>
          </w:p>
          <w:p w14:paraId="4ADA5C95" w14:textId="65E7729B" w:rsidR="00F70E40" w:rsidRDefault="00F70E40" w:rsidP="00A2006C">
            <w:pPr>
              <w:spacing w:line="276" w:lineRule="auto"/>
              <w:jc w:val="center"/>
            </w:pPr>
            <w:r>
              <w:t>92%</w:t>
            </w:r>
          </w:p>
        </w:tc>
        <w:tc>
          <w:tcPr>
            <w:tcW w:w="1003" w:type="dxa"/>
          </w:tcPr>
          <w:p w14:paraId="6370C9EA" w14:textId="77777777" w:rsidR="00F70E40" w:rsidRDefault="00F70E40" w:rsidP="00A2006C">
            <w:pPr>
              <w:spacing w:line="276" w:lineRule="auto"/>
              <w:jc w:val="center"/>
            </w:pPr>
            <w:r>
              <w:t>474/553</w:t>
            </w:r>
          </w:p>
          <w:p w14:paraId="6AF5BD05" w14:textId="6C434FF4" w:rsidR="00F70E40" w:rsidRDefault="00F70E40" w:rsidP="00234501">
            <w:pPr>
              <w:spacing w:line="276" w:lineRule="auto"/>
              <w:ind w:left="-130" w:firstLine="130"/>
              <w:jc w:val="center"/>
            </w:pPr>
            <w:r>
              <w:t>86%</w:t>
            </w:r>
          </w:p>
        </w:tc>
        <w:tc>
          <w:tcPr>
            <w:tcW w:w="1003" w:type="dxa"/>
          </w:tcPr>
          <w:p w14:paraId="4552CAA1" w14:textId="634A43C4" w:rsidR="00F70E40" w:rsidRDefault="00D31F75" w:rsidP="00D31F75">
            <w:pPr>
              <w:tabs>
                <w:tab w:val="center" w:pos="393"/>
              </w:tabs>
              <w:spacing w:line="276" w:lineRule="auto"/>
            </w:pPr>
            <w:r>
              <w:tab/>
              <w:t>474</w:t>
            </w:r>
            <w:r w:rsidR="002D5391">
              <w:t>/</w:t>
            </w:r>
            <w:r>
              <w:t>532</w:t>
            </w:r>
          </w:p>
          <w:p w14:paraId="6C9E639A" w14:textId="34F274C7" w:rsidR="00F70E40" w:rsidRDefault="00F70E40" w:rsidP="00A2006C">
            <w:pPr>
              <w:spacing w:line="276" w:lineRule="auto"/>
              <w:jc w:val="center"/>
            </w:pPr>
            <w:r>
              <w:t>89%</w:t>
            </w:r>
          </w:p>
        </w:tc>
        <w:tc>
          <w:tcPr>
            <w:tcW w:w="1003" w:type="dxa"/>
          </w:tcPr>
          <w:p w14:paraId="14344973" w14:textId="3316A326" w:rsidR="00F70E40" w:rsidRDefault="00D31F75" w:rsidP="00A2006C">
            <w:pPr>
              <w:spacing w:line="276" w:lineRule="auto"/>
              <w:jc w:val="center"/>
            </w:pPr>
            <w:r>
              <w:t>459</w:t>
            </w:r>
            <w:r w:rsidR="002D5391">
              <w:t>/540</w:t>
            </w:r>
          </w:p>
          <w:p w14:paraId="54E93C96" w14:textId="5476D261" w:rsidR="00F70E40" w:rsidRDefault="00F70E40" w:rsidP="00A2006C">
            <w:pPr>
              <w:spacing w:line="276" w:lineRule="auto"/>
              <w:jc w:val="center"/>
            </w:pPr>
            <w:r>
              <w:t>85%</w:t>
            </w:r>
          </w:p>
        </w:tc>
      </w:tr>
    </w:tbl>
    <w:p w14:paraId="5D57718F" w14:textId="78FF1130" w:rsidR="009E3824" w:rsidRDefault="009E3824" w:rsidP="009E3824">
      <w:pPr>
        <w:spacing w:line="276" w:lineRule="auto"/>
        <w:rPr>
          <w:b/>
          <w:u w:val="single"/>
        </w:rPr>
      </w:pPr>
    </w:p>
    <w:p w14:paraId="7EAC53BC" w14:textId="77777777" w:rsidR="009E3824" w:rsidRPr="00D003D5" w:rsidRDefault="009E3824" w:rsidP="009E3824">
      <w:pPr>
        <w:spacing w:line="276" w:lineRule="auto"/>
        <w:rPr>
          <w:b/>
        </w:rPr>
      </w:pPr>
    </w:p>
    <w:p w14:paraId="32987702" w14:textId="0442A323" w:rsidR="009E3824" w:rsidRPr="00052382" w:rsidRDefault="009E3824" w:rsidP="009E3824">
      <w:pPr>
        <w:shd w:val="clear" w:color="auto" w:fill="FFFFFF"/>
        <w:rPr>
          <w:rFonts w:ascii="Verdana" w:hAnsi="Verdana"/>
          <w:sz w:val="22"/>
          <w:szCs w:val="22"/>
        </w:rPr>
      </w:pPr>
      <w:r w:rsidRPr="00052382">
        <w:rPr>
          <w:rFonts w:ascii="Verdana" w:hAnsi="Verdana"/>
          <w:sz w:val="22"/>
          <w:szCs w:val="22"/>
        </w:rPr>
        <w:t xml:space="preserve">I believe the Annual Report for Beagle Elementary School demonstrates that we are doing very well in providing an outstanding academic learning environment for children. We will </w:t>
      </w:r>
      <w:r w:rsidRPr="00052382">
        <w:rPr>
          <w:rFonts w:ascii="Verdana" w:hAnsi="Verdana"/>
          <w:sz w:val="22"/>
          <w:szCs w:val="22"/>
        </w:rPr>
        <w:lastRenderedPageBreak/>
        <w:t>continue to strive as a staff to improve. Our district’s goal of becoming “one of the best school districts in the nation” will motivate us toward higher and higher levels of excellence. Our School Improvement Goals will continue to focus on areas that reflect student academic needs. We will continue to work to provide the very best school for your child.</w:t>
      </w:r>
    </w:p>
    <w:p w14:paraId="000226B0" w14:textId="4410F8BF" w:rsidR="0046051C" w:rsidRPr="00052382" w:rsidRDefault="0046051C" w:rsidP="0020225B">
      <w:pPr>
        <w:shd w:val="clear" w:color="auto" w:fill="FFFFFF"/>
        <w:rPr>
          <w:rFonts w:ascii="Verdana" w:hAnsi="Verdana"/>
          <w:sz w:val="22"/>
          <w:szCs w:val="22"/>
        </w:rPr>
      </w:pPr>
    </w:p>
    <w:p w14:paraId="6D92ED8D" w14:textId="77777777" w:rsidR="0046051C" w:rsidRPr="00052382" w:rsidRDefault="0046051C" w:rsidP="0046051C">
      <w:pPr>
        <w:shd w:val="clear" w:color="auto" w:fill="FFFFFF"/>
        <w:rPr>
          <w:rFonts w:ascii="Verdana" w:hAnsi="Verdana"/>
          <w:sz w:val="22"/>
          <w:szCs w:val="22"/>
        </w:rPr>
      </w:pPr>
    </w:p>
    <w:p w14:paraId="38B01C3B" w14:textId="77777777" w:rsidR="0046051C" w:rsidRPr="00052382" w:rsidRDefault="0046051C" w:rsidP="0046051C">
      <w:pPr>
        <w:shd w:val="clear" w:color="auto" w:fill="FFFFFF"/>
        <w:rPr>
          <w:rFonts w:ascii="Verdana" w:hAnsi="Verdana"/>
          <w:sz w:val="22"/>
          <w:szCs w:val="22"/>
        </w:rPr>
      </w:pPr>
      <w:r w:rsidRPr="00052382">
        <w:rPr>
          <w:rFonts w:ascii="Verdana" w:hAnsi="Verdana"/>
          <w:sz w:val="22"/>
          <w:szCs w:val="22"/>
        </w:rPr>
        <w:t xml:space="preserve">Sincerely, </w:t>
      </w:r>
    </w:p>
    <w:p w14:paraId="5737DB53" w14:textId="77777777" w:rsidR="0046051C" w:rsidRDefault="0046051C" w:rsidP="0046051C">
      <w:pPr>
        <w:shd w:val="clear" w:color="auto" w:fill="FFFFFF"/>
      </w:pPr>
    </w:p>
    <w:p w14:paraId="14E5DB78" w14:textId="77777777" w:rsidR="0046051C" w:rsidRPr="004C40BD" w:rsidRDefault="0046051C" w:rsidP="0046051C">
      <w:pPr>
        <w:shd w:val="clear" w:color="auto" w:fill="FFFFFF"/>
        <w:rPr>
          <w:rFonts w:ascii="Lucida Handwriting" w:hAnsi="Lucida Handwriting"/>
        </w:rPr>
      </w:pPr>
      <w:r>
        <w:rPr>
          <w:rFonts w:ascii="Lucida Handwriting" w:hAnsi="Lucida Handwriting"/>
        </w:rPr>
        <w:t xml:space="preserve">Dawn </w:t>
      </w:r>
      <w:proofErr w:type="spellStart"/>
      <w:r>
        <w:rPr>
          <w:rFonts w:ascii="Lucida Handwriting" w:hAnsi="Lucida Handwriting"/>
        </w:rPr>
        <w:t>Kennaugh</w:t>
      </w:r>
      <w:proofErr w:type="spellEnd"/>
    </w:p>
    <w:p w14:paraId="512135AD" w14:textId="77777777" w:rsidR="0046051C" w:rsidRDefault="0046051C" w:rsidP="0046051C">
      <w:pPr>
        <w:shd w:val="clear" w:color="auto" w:fill="FFFFFF"/>
      </w:pPr>
    </w:p>
    <w:p w14:paraId="021518B3" w14:textId="77777777" w:rsidR="0046051C" w:rsidRPr="00052382" w:rsidRDefault="0046051C" w:rsidP="0046051C">
      <w:pPr>
        <w:shd w:val="clear" w:color="auto" w:fill="FFFFFF"/>
        <w:rPr>
          <w:rFonts w:ascii="Verdana" w:hAnsi="Verdana"/>
          <w:sz w:val="22"/>
          <w:szCs w:val="22"/>
        </w:rPr>
      </w:pPr>
      <w:r w:rsidRPr="00052382">
        <w:rPr>
          <w:rFonts w:ascii="Verdana" w:hAnsi="Verdana"/>
          <w:sz w:val="22"/>
          <w:szCs w:val="22"/>
        </w:rPr>
        <w:t xml:space="preserve">Dawn </w:t>
      </w:r>
      <w:proofErr w:type="spellStart"/>
      <w:r w:rsidRPr="00052382">
        <w:rPr>
          <w:rFonts w:ascii="Verdana" w:hAnsi="Verdana"/>
          <w:sz w:val="22"/>
          <w:szCs w:val="22"/>
        </w:rPr>
        <w:t>Kennaugh</w:t>
      </w:r>
      <w:proofErr w:type="spellEnd"/>
      <w:r w:rsidRPr="00052382">
        <w:rPr>
          <w:rFonts w:ascii="Verdana" w:hAnsi="Verdana"/>
          <w:sz w:val="22"/>
          <w:szCs w:val="22"/>
        </w:rPr>
        <w:t>, Principal</w:t>
      </w:r>
    </w:p>
    <w:p w14:paraId="7E613F40" w14:textId="77777777" w:rsidR="0046051C" w:rsidRPr="00B534BE" w:rsidRDefault="0046051C" w:rsidP="0046051C">
      <w:pPr>
        <w:rPr>
          <w:rFonts w:ascii="Verdana" w:hAnsi="Verdana"/>
          <w:sz w:val="22"/>
          <w:szCs w:val="22"/>
        </w:rPr>
      </w:pPr>
    </w:p>
    <w:p w14:paraId="73C46B3E" w14:textId="77777777" w:rsidR="0046051C" w:rsidRDefault="0046051C" w:rsidP="00120B49">
      <w:pPr>
        <w:rPr>
          <w:rFonts w:ascii="Verdana" w:hAnsi="Verdana"/>
          <w:sz w:val="22"/>
          <w:szCs w:val="22"/>
        </w:rPr>
      </w:pPr>
    </w:p>
    <w:sectPr w:rsidR="0046051C" w:rsidSect="00750359">
      <w:headerReference w:type="first" r:id="rId11"/>
      <w:footerReference w:type="first" r:id="rId12"/>
      <w:type w:val="continuous"/>
      <w:pgSz w:w="12240" w:h="15840" w:code="1"/>
      <w:pgMar w:top="720" w:right="936" w:bottom="720" w:left="93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F86B" w14:textId="77777777" w:rsidR="002D5391" w:rsidRDefault="002D5391">
      <w:r>
        <w:separator/>
      </w:r>
    </w:p>
  </w:endnote>
  <w:endnote w:type="continuationSeparator" w:id="0">
    <w:p w14:paraId="08148747" w14:textId="77777777" w:rsidR="002D5391" w:rsidRDefault="002D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20D4" w14:textId="77777777" w:rsidR="002D5391" w:rsidRDefault="002D5391">
    <w:pPr>
      <w:pStyle w:val="Footer"/>
      <w:jc w:val="center"/>
      <w:rPr>
        <w:rFonts w:ascii="Arial" w:hAnsi="Arial"/>
        <w:w w:val="115"/>
        <w:sz w:val="14"/>
      </w:rPr>
    </w:pPr>
  </w:p>
  <w:p w14:paraId="545340CD" w14:textId="77777777" w:rsidR="002D5391" w:rsidRDefault="002D5391">
    <w:pPr>
      <w:pStyle w:val="Footer"/>
      <w:jc w:val="center"/>
      <w:rPr>
        <w:w w:val="1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ECE7" w14:textId="77777777" w:rsidR="002D5391" w:rsidRDefault="002D5391">
      <w:r>
        <w:separator/>
      </w:r>
    </w:p>
  </w:footnote>
  <w:footnote w:type="continuationSeparator" w:id="0">
    <w:p w14:paraId="16C4A1FC" w14:textId="77777777" w:rsidR="002D5391" w:rsidRDefault="002D5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E2ED" w14:textId="77777777" w:rsidR="002D5391" w:rsidRDefault="002D5391" w:rsidP="00B175FB">
    <w:pPr>
      <w:pStyle w:val="Header"/>
      <w:jc w:val="center"/>
      <w:rPr>
        <w:rFonts w:ascii="Verdana" w:hAnsi="Verdana"/>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029D3"/>
    <w:rsid w:val="00010073"/>
    <w:rsid w:val="0002025E"/>
    <w:rsid w:val="00020473"/>
    <w:rsid w:val="00052382"/>
    <w:rsid w:val="00057848"/>
    <w:rsid w:val="0006083B"/>
    <w:rsid w:val="00061EB2"/>
    <w:rsid w:val="00063296"/>
    <w:rsid w:val="00066FC0"/>
    <w:rsid w:val="000704D0"/>
    <w:rsid w:val="00085812"/>
    <w:rsid w:val="000A35C4"/>
    <w:rsid w:val="000A3C42"/>
    <w:rsid w:val="000B3E12"/>
    <w:rsid w:val="000B47AE"/>
    <w:rsid w:val="000D0387"/>
    <w:rsid w:val="000D09FE"/>
    <w:rsid w:val="000D2DA5"/>
    <w:rsid w:val="000E353E"/>
    <w:rsid w:val="000E4E06"/>
    <w:rsid w:val="000F27C5"/>
    <w:rsid w:val="00101A7F"/>
    <w:rsid w:val="00104F96"/>
    <w:rsid w:val="00106261"/>
    <w:rsid w:val="00110DA7"/>
    <w:rsid w:val="00114EA7"/>
    <w:rsid w:val="00120B49"/>
    <w:rsid w:val="00126A35"/>
    <w:rsid w:val="00150B9F"/>
    <w:rsid w:val="00162161"/>
    <w:rsid w:val="001726D7"/>
    <w:rsid w:val="0017412D"/>
    <w:rsid w:val="00175265"/>
    <w:rsid w:val="001774DA"/>
    <w:rsid w:val="00184171"/>
    <w:rsid w:val="001A695C"/>
    <w:rsid w:val="001B37F1"/>
    <w:rsid w:val="001B669B"/>
    <w:rsid w:val="001C5DFE"/>
    <w:rsid w:val="001D3577"/>
    <w:rsid w:val="001E0FFE"/>
    <w:rsid w:val="001F3657"/>
    <w:rsid w:val="001F452E"/>
    <w:rsid w:val="0020225B"/>
    <w:rsid w:val="00204448"/>
    <w:rsid w:val="002069B1"/>
    <w:rsid w:val="00206E37"/>
    <w:rsid w:val="00215650"/>
    <w:rsid w:val="00222130"/>
    <w:rsid w:val="00234501"/>
    <w:rsid w:val="00237CB5"/>
    <w:rsid w:val="0024189E"/>
    <w:rsid w:val="002675B2"/>
    <w:rsid w:val="00280D60"/>
    <w:rsid w:val="002A0320"/>
    <w:rsid w:val="002A5D3B"/>
    <w:rsid w:val="002C04EF"/>
    <w:rsid w:val="002C05E6"/>
    <w:rsid w:val="002D5391"/>
    <w:rsid w:val="002D59A5"/>
    <w:rsid w:val="002D7C1B"/>
    <w:rsid w:val="002F1BB7"/>
    <w:rsid w:val="002F1C25"/>
    <w:rsid w:val="00306510"/>
    <w:rsid w:val="00314922"/>
    <w:rsid w:val="0032339F"/>
    <w:rsid w:val="00325ECD"/>
    <w:rsid w:val="00326DA9"/>
    <w:rsid w:val="00357C05"/>
    <w:rsid w:val="0036117B"/>
    <w:rsid w:val="003647A5"/>
    <w:rsid w:val="0037243F"/>
    <w:rsid w:val="003A1346"/>
    <w:rsid w:val="003A726A"/>
    <w:rsid w:val="003A7DAD"/>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051C"/>
    <w:rsid w:val="004654EC"/>
    <w:rsid w:val="00497E85"/>
    <w:rsid w:val="004A731F"/>
    <w:rsid w:val="004B000B"/>
    <w:rsid w:val="004B33A1"/>
    <w:rsid w:val="004C4E90"/>
    <w:rsid w:val="004E2236"/>
    <w:rsid w:val="00517392"/>
    <w:rsid w:val="00537B61"/>
    <w:rsid w:val="00546C5E"/>
    <w:rsid w:val="00554F16"/>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C5A8A"/>
    <w:rsid w:val="006D5CDF"/>
    <w:rsid w:val="006D65F9"/>
    <w:rsid w:val="006D7066"/>
    <w:rsid w:val="006E057B"/>
    <w:rsid w:val="006E08AB"/>
    <w:rsid w:val="006E36B9"/>
    <w:rsid w:val="006F2D56"/>
    <w:rsid w:val="006F5131"/>
    <w:rsid w:val="0071030A"/>
    <w:rsid w:val="00711612"/>
    <w:rsid w:val="00711E04"/>
    <w:rsid w:val="00714511"/>
    <w:rsid w:val="00727E7F"/>
    <w:rsid w:val="00744DBA"/>
    <w:rsid w:val="00746668"/>
    <w:rsid w:val="00750359"/>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236F8"/>
    <w:rsid w:val="008319B6"/>
    <w:rsid w:val="00831C2C"/>
    <w:rsid w:val="00841EED"/>
    <w:rsid w:val="00843723"/>
    <w:rsid w:val="00844376"/>
    <w:rsid w:val="008519BB"/>
    <w:rsid w:val="0085511F"/>
    <w:rsid w:val="008602F0"/>
    <w:rsid w:val="00863ACA"/>
    <w:rsid w:val="00865F28"/>
    <w:rsid w:val="00872103"/>
    <w:rsid w:val="008824A6"/>
    <w:rsid w:val="00883544"/>
    <w:rsid w:val="00891D7C"/>
    <w:rsid w:val="008A6818"/>
    <w:rsid w:val="008B1C4C"/>
    <w:rsid w:val="008C18CD"/>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70474"/>
    <w:rsid w:val="009721DF"/>
    <w:rsid w:val="00972383"/>
    <w:rsid w:val="00981850"/>
    <w:rsid w:val="00983D76"/>
    <w:rsid w:val="00991D8C"/>
    <w:rsid w:val="00992C34"/>
    <w:rsid w:val="009A6411"/>
    <w:rsid w:val="009C4F1B"/>
    <w:rsid w:val="009D0D8B"/>
    <w:rsid w:val="009D0E2C"/>
    <w:rsid w:val="009D5D35"/>
    <w:rsid w:val="009E3718"/>
    <w:rsid w:val="009E3824"/>
    <w:rsid w:val="009F385F"/>
    <w:rsid w:val="009F6168"/>
    <w:rsid w:val="00A050C9"/>
    <w:rsid w:val="00A14831"/>
    <w:rsid w:val="00A2006C"/>
    <w:rsid w:val="00A314D2"/>
    <w:rsid w:val="00A4123B"/>
    <w:rsid w:val="00A4532C"/>
    <w:rsid w:val="00A45C56"/>
    <w:rsid w:val="00A66F19"/>
    <w:rsid w:val="00A8273F"/>
    <w:rsid w:val="00A827BC"/>
    <w:rsid w:val="00A93751"/>
    <w:rsid w:val="00A9506B"/>
    <w:rsid w:val="00AA241A"/>
    <w:rsid w:val="00AE66A0"/>
    <w:rsid w:val="00B04AD0"/>
    <w:rsid w:val="00B175FB"/>
    <w:rsid w:val="00B203E9"/>
    <w:rsid w:val="00B33778"/>
    <w:rsid w:val="00B42D51"/>
    <w:rsid w:val="00B455C7"/>
    <w:rsid w:val="00B534BE"/>
    <w:rsid w:val="00B810BA"/>
    <w:rsid w:val="00B82F5A"/>
    <w:rsid w:val="00B92CAD"/>
    <w:rsid w:val="00BA2616"/>
    <w:rsid w:val="00BA392A"/>
    <w:rsid w:val="00BB3C8C"/>
    <w:rsid w:val="00BB78C8"/>
    <w:rsid w:val="00C00E4B"/>
    <w:rsid w:val="00C047DB"/>
    <w:rsid w:val="00C10338"/>
    <w:rsid w:val="00C165E1"/>
    <w:rsid w:val="00C213DC"/>
    <w:rsid w:val="00C427EA"/>
    <w:rsid w:val="00C439B4"/>
    <w:rsid w:val="00C513FA"/>
    <w:rsid w:val="00C53FC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31C40"/>
    <w:rsid w:val="00D31F75"/>
    <w:rsid w:val="00D46719"/>
    <w:rsid w:val="00D5114C"/>
    <w:rsid w:val="00D53BC4"/>
    <w:rsid w:val="00D57D1A"/>
    <w:rsid w:val="00D639FA"/>
    <w:rsid w:val="00D64D5D"/>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532A"/>
    <w:rsid w:val="00EC5C34"/>
    <w:rsid w:val="00ED1DE6"/>
    <w:rsid w:val="00EF421F"/>
    <w:rsid w:val="00F27959"/>
    <w:rsid w:val="00F57575"/>
    <w:rsid w:val="00F61C5E"/>
    <w:rsid w:val="00F629D2"/>
    <w:rsid w:val="00F70E40"/>
    <w:rsid w:val="00F7470C"/>
    <w:rsid w:val="00F77AC0"/>
    <w:rsid w:val="00F93FDF"/>
    <w:rsid w:val="00FA5A59"/>
    <w:rsid w:val="00FB31A0"/>
    <w:rsid w:val="00FB57CF"/>
    <w:rsid w:val="00FE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C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glcomets.net/ourschools/elementary-grades-1---6/beagleelementaryschool/annualeducationreportletter200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BBE4-7709-F147-969E-8ACC2216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Office\Templates\letterhead.dot</Template>
  <TotalTime>53</TotalTime>
  <Pages>3</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glps glps</cp:lastModifiedBy>
  <cp:revision>6</cp:revision>
  <cp:lastPrinted>2016-02-22T18:56:00Z</cp:lastPrinted>
  <dcterms:created xsi:type="dcterms:W3CDTF">2017-03-07T15:36:00Z</dcterms:created>
  <dcterms:modified xsi:type="dcterms:W3CDTF">2017-03-10T20:59:00Z</dcterms:modified>
</cp:coreProperties>
</file>